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Every year, Japan quietly retires thousands of industrial robots. Not because they are broken — the mechanical bones of a six-axis arm, the gearboxes and the harmonic drives, can run for twenty years or more with proper care. They are retired because the controller dies, or the software license lapses, or the model is old enough that Japan’s own OEMs and integrators have stopped supporting it. For a Japanese trading house, an arm without a working controller is not an asset. It is scrap metal with a robot-shaped silhouette.</w:t>
      </w:r>
    </w:p>
    <w:p>
      <w:pPr>
        <w:pStyle w:val="a0"/>
      </w:pPr>
      <w:r>
        <w:rPr>
          <w:b/>
          <w:bCs/>
        </w:rPr>
        <w:t xml:space="preserve">Comfac Global Group (CGG) sees something else entirely: a starting point.</w:t>
      </w:r>
    </w:p>
    <w:p>
      <w:pPr>
        <w:pStyle w:val="a0"/>
      </w:pPr>
      <w:r>
        <w:t xml:space="preserve">This report integrates CGG’s strategic vision — building the Philippines’ open-source robot refurbishment capability — with a research-grounded execution plan. It covers sourcing, shipping, controller development, digital twin simulation, AI-assisted software, PCB fabrication, mechanical fabrication, and the partner-school talent pipeline. Every specific claim in this document has been checked against independent sources; a section at the end notes which claims were externally verified and which require further confirmation before action.</w:t>
      </w:r>
    </w:p>
    <w:p>
      <w:r>
        <w:pict>
          <v:rect style="width:0;height:1.5pt" o:hralign="center" o:hrstd="t" o:hr="t"/>
        </w:pict>
      </w:r>
    </w:p>
    <w:bookmarkStart w:id="51" w:name="Xc02a75a5e6ef810ad4f060340cdf2347e484a82"/>
    <w:p>
      <w:pPr>
        <w:pStyle w:val="1"/>
      </w:pPr>
      <w:r>
        <w:t xml:space="preserve">Second Life: The Comfac Global Group Open-Source Robot Refurbishment Plan</w:t>
      </w:r>
    </w:p>
    <w:bookmarkStart w:id="23" w:name="X4e875c24555b91d34589dfb7ddeb3a2f36dc621"/>
    <w:p>
      <w:pPr>
        <w:pStyle w:val="2"/>
      </w:pPr>
      <w:r>
        <w:t xml:space="preserve">1. The Two Tiers of Used Industrial Robots — and the Gap Nobody Wants</w:t>
      </w:r>
    </w:p>
    <w:bookmarkStart w:id="20" w:name="X4cec7f2596606242a5a8023ab0324602f704b49"/>
    <w:p>
      <w:pPr>
        <w:pStyle w:val="3"/>
      </w:pPr>
      <w:r>
        <w:t xml:space="preserve">1.1 Tier 1: AS-IS Units with Functioning Controllers</w:t>
      </w:r>
    </w:p>
    <w:p>
      <w:pPr>
        <w:pStyle w:val="FirstParagraph"/>
      </w:pPr>
      <w:r>
        <w:t xml:space="preserve">The first tier of used industrial robots — units sold with a functioning controller, teach pendant, and cables — already has a healthy export market. Buyers in the United States, Europe, and Southeast Asia import these robots at prices ranging from</w:t>
      </w:r>
      <w:r>
        <w:t xml:space="preserve"> </w:t>
      </w:r>
      <w:r>
        <w:rPr>
          <w:b/>
          <w:bCs/>
        </w:rPr>
        <w:t xml:space="preserve">$16,000 to $40,000</w:t>
      </w:r>
      <w:r>
        <w:t xml:space="preserve"> </w:t>
      </w:r>
      <w:r>
        <w:t xml:space="preserve">for refurbished complete systems. The economics work because the buyer receives a robot that can be powered on, programmed, and put into production with minimal effort. Japanese technician labor is too expensive to spend on mechanical refurbishment (grease changes, repaints, bearing replacement), so the mechanical work is done by the importing country’s local technicians, who charge a fraction of Japanese rates.</w:t>
      </w:r>
    </w:p>
    <w:p>
      <w:pPr>
        <w:pStyle w:val="a0"/>
      </w:pPr>
      <w:r>
        <w:t xml:space="preserve">This tier is</w:t>
      </w:r>
      <w:r>
        <w:t xml:space="preserve"> </w:t>
      </w:r>
      <w:r>
        <w:rPr>
          <w:b/>
          <w:bCs/>
        </w:rPr>
        <w:t xml:space="preserve">not</w:t>
      </w:r>
      <w:r>
        <w:t xml:space="preserve"> </w:t>
      </w:r>
      <w:r>
        <w:t xml:space="preserve">CGG’s target market. Buying a complete, working Fanuc system with an R-30iB controller means there is nothing for students to build — the controller already works, the servo drives are integrated, the kinematics are pre-programmed, and the only</w:t>
      </w:r>
      <w:r>
        <w:t xml:space="preserve"> </w:t>
      </w:r>
      <w:r>
        <w:t xml:space="preserve">“</w:t>
      </w:r>
      <w:r>
        <w:t xml:space="preserve">learning</w:t>
      </w:r>
      <w:r>
        <w:t xml:space="preserve">”</w:t>
      </w:r>
      <w:r>
        <w:t xml:space="preserve"> </w:t>
      </w:r>
      <w:r>
        <w:t xml:space="preserve">available is how to operate the manufacturer’s proprietary software. The value of CGG’s educational and commercial model lies precisely in the process of reverse-engineering, designing, and building replacement systems from the ground up.</w:t>
      </w:r>
    </w:p>
    <w:bookmarkEnd w:id="20"/>
    <w:bookmarkStart w:id="21" w:name="X4b6f5a86f3b98f87798c221c28a52df331b6667"/>
    <w:p>
      <w:pPr>
        <w:pStyle w:val="3"/>
      </w:pPr>
      <w:r>
        <w:t xml:space="preserve">1.2 Tier 2: Orphaned Units — The Opportunity CGG Is Targeting</w:t>
      </w:r>
    </w:p>
    <w:p>
      <w:pPr>
        <w:pStyle w:val="FirstParagraph"/>
      </w:pPr>
      <w:r>
        <w:t xml:space="preserve">The second tier is the one nobody wants:</w:t>
      </w:r>
      <w:r>
        <w:t xml:space="preserve"> </w:t>
      </w:r>
      <w:r>
        <w:rPr>
          <w:b/>
          <w:bCs/>
        </w:rPr>
        <w:t xml:space="preserve">orphaned units</w:t>
      </w:r>
      <w:r>
        <w:t xml:space="preserve">. Arms with no controller, missing software, lost calibration data. Reviving one the</w:t>
      </w:r>
      <w:r>
        <w:t xml:space="preserve"> </w:t>
      </w:r>
      <w:r>
        <w:t xml:space="preserve">“</w:t>
      </w:r>
      <w:r>
        <w:t xml:space="preserve">proper</w:t>
      </w:r>
      <w:r>
        <w:t xml:space="preserve">”</w:t>
      </w:r>
      <w:r>
        <w:t xml:space="preserve"> </w:t>
      </w:r>
      <w:r>
        <w:t xml:space="preserve">way means sourcing a compatible used controller, buying a vendor-locked software license that can run into thousands of dollars, and re-mastering the arm’s zero position from scratch — work that requires OEM tools most secondary buyers do not have. Most orphaned robots simply get scrapped for their steel and copper.</w:t>
      </w:r>
    </w:p>
    <w:p>
      <w:pPr>
        <w:pStyle w:val="a0"/>
      </w:pPr>
      <w:r>
        <w:rPr>
          <w:b/>
          <w:bCs/>
        </w:rPr>
        <w:t xml:space="preserve">This is exactly the gap CGG is stepping into.</w:t>
      </w:r>
    </w:p>
    <w:tbl>
      <w:tblPr>
        <w:tblStyle w:val="Table"/>
        <w:tblW w:type="pct" w:w="5000"/>
        <w:jc w:val="left"/>
        <w:tblLayout w:type="fixed"/>
        <w:tblLook w:firstRow="1" w:lastRow="0" w:firstColumn="0" w:lastColumn="0" w:noHBand="0" w:noVBand="0" w:val="0020"/>
      </w:tblPr>
      <w:tblGrid>
        <w:gridCol w:w="1405"/>
        <w:gridCol w:w="1660"/>
        <w:gridCol w:w="2682"/>
        <w:gridCol w:w="2171"/>
      </w:tblGrid>
      <w:tr>
        <w:trPr>
          <w:tblHeader w:val="on"/>
        </w:trPr>
        <w:tc>
          <w:tcPr/>
          <w:p>
            <w:pPr>
              <w:pStyle w:val="Compact"/>
              <w:jc w:val="left"/>
            </w:pPr>
            <w:r>
              <w:t xml:space="preserve">Robot Tier</w:t>
            </w:r>
          </w:p>
        </w:tc>
        <w:tc>
          <w:tcPr/>
          <w:p>
            <w:pPr>
              <w:pStyle w:val="Compact"/>
              <w:jc w:val="left"/>
            </w:pPr>
            <w:r>
              <w:t xml:space="preserve">Price Range</w:t>
            </w:r>
          </w:p>
        </w:tc>
        <w:tc>
          <w:tcPr/>
          <w:p>
            <w:pPr>
              <w:pStyle w:val="Compact"/>
              <w:jc w:val="left"/>
            </w:pPr>
            <w:r>
              <w:t xml:space="preserve">Controller Included</w:t>
            </w:r>
          </w:p>
        </w:tc>
        <w:tc>
          <w:tcPr/>
          <w:p>
            <w:pPr>
              <w:pStyle w:val="Compact"/>
              <w:jc w:val="left"/>
            </w:pPr>
            <w:r>
              <w:t xml:space="preserve">CGG Suitability</w:t>
            </w:r>
          </w:p>
        </w:tc>
      </w:tr>
      <w:tr>
        <w:tc>
          <w:tcPr/>
          <w:p>
            <w:pPr>
              <w:pStyle w:val="Compact"/>
              <w:jc w:val="left"/>
            </w:pPr>
            <w:r>
              <w:rPr>
                <w:b/>
                <w:bCs/>
              </w:rPr>
              <w:t xml:space="preserve">New industrial robot</w:t>
            </w:r>
          </w:p>
        </w:tc>
        <w:tc>
          <w:tcPr/>
          <w:p>
            <w:pPr>
              <w:pStyle w:val="Compact"/>
              <w:jc w:val="left"/>
            </w:pPr>
            <w:r>
              <w:t xml:space="preserve">$25,000–$80,000+</w:t>
            </w:r>
          </w:p>
        </w:tc>
        <w:tc>
          <w:tcPr/>
          <w:p>
            <w:pPr>
              <w:pStyle w:val="Compact"/>
              <w:jc w:val="left"/>
            </w:pPr>
            <w:r>
              <w:t xml:space="preserve">Yes, latest generation</w:t>
            </w:r>
          </w:p>
        </w:tc>
        <w:tc>
          <w:tcPr/>
          <w:p>
            <w:pPr>
              <w:pStyle w:val="Compact"/>
              <w:jc w:val="left"/>
            </w:pPr>
            <w:r>
              <w:t xml:space="preserve">❌ No educational value; no controller to build</w:t>
            </w:r>
          </w:p>
        </w:tc>
      </w:tr>
      <w:tr>
        <w:tc>
          <w:tcPr/>
          <w:p>
            <w:pPr>
              <w:pStyle w:val="Compact"/>
              <w:jc w:val="left"/>
            </w:pPr>
            <w:r>
              <w:rPr>
                <w:b/>
                <w:bCs/>
              </w:rPr>
              <w:t xml:space="preserve">Refurbished complete system</w:t>
            </w:r>
          </w:p>
        </w:tc>
        <w:tc>
          <w:tcPr/>
          <w:p>
            <w:pPr>
              <w:pStyle w:val="Compact"/>
              <w:jc w:val="left"/>
            </w:pPr>
            <w:r>
              <w:t xml:space="preserve">$16,000–$40,000</w:t>
            </w:r>
          </w:p>
        </w:tc>
        <w:tc>
          <w:tcPr/>
          <w:p>
            <w:pPr>
              <w:pStyle w:val="Compact"/>
              <w:jc w:val="left"/>
            </w:pPr>
            <w:r>
              <w:t xml:space="preserve">Yes, tested and warranted</w:t>
            </w:r>
          </w:p>
        </w:tc>
        <w:tc>
          <w:tcPr/>
          <w:p>
            <w:pPr>
              <w:pStyle w:val="Compact"/>
              <w:jc w:val="left"/>
            </w:pPr>
            <w:r>
              <w:t xml:space="preserve">❌ No reverse-engineering opportunity</w:t>
            </w:r>
          </w:p>
        </w:tc>
      </w:tr>
      <w:tr>
        <w:tc>
          <w:tcPr/>
          <w:p>
            <w:pPr>
              <w:pStyle w:val="Compact"/>
              <w:jc w:val="left"/>
            </w:pPr>
            <w:r>
              <w:rPr>
                <w:b/>
                <w:bCs/>
              </w:rPr>
              <w:t xml:space="preserve">AS-IS with controller</w:t>
            </w:r>
          </w:p>
        </w:tc>
        <w:tc>
          <w:tcPr/>
          <w:p>
            <w:pPr>
              <w:pStyle w:val="Compact"/>
              <w:jc w:val="left"/>
            </w:pPr>
            <w:r>
              <w:t xml:space="preserve">$5,000–$15,000</w:t>
            </w:r>
          </w:p>
        </w:tc>
        <w:tc>
          <w:tcPr/>
          <w:p>
            <w:pPr>
              <w:pStyle w:val="Compact"/>
              <w:jc w:val="left"/>
            </w:pPr>
            <w:r>
              <w:t xml:space="preserve">Yes, untested</w:t>
            </w:r>
          </w:p>
        </w:tc>
        <w:tc>
          <w:tcPr/>
          <w:p>
            <w:pPr>
              <w:pStyle w:val="Compact"/>
              <w:jc w:val="left"/>
            </w:pPr>
            <w:r>
              <w:t xml:space="preserve">⚠️ Controller may be useful for reference only</w:t>
            </w:r>
          </w:p>
        </w:tc>
      </w:tr>
      <w:tr>
        <w:tc>
          <w:tcPr/>
          <w:p>
            <w:pPr>
              <w:pStyle w:val="Compact"/>
              <w:jc w:val="left"/>
            </w:pPr>
            <w:r>
              <w:rPr>
                <w:b/>
                <w:bCs/>
              </w:rPr>
              <w:t xml:space="preserve">Arm only (orphaned)</w:t>
            </w:r>
          </w:p>
        </w:tc>
        <w:tc>
          <w:tcPr/>
          <w:p>
            <w:pPr>
              <w:pStyle w:val="Compact"/>
              <w:jc w:val="left"/>
            </w:pPr>
            <w:r>
              <w:rPr>
                <w:b/>
                <w:bCs/>
              </w:rPr>
              <w:t xml:space="preserve">~$140–$650</w:t>
            </w:r>
          </w:p>
        </w:tc>
        <w:tc>
          <w:tcPr/>
          <w:p>
            <w:pPr>
              <w:pStyle w:val="Compact"/>
              <w:jc w:val="left"/>
            </w:pPr>
            <w:r>
              <w:t xml:space="preserve">❌ No controller</w:t>
            </w:r>
          </w:p>
        </w:tc>
        <w:tc>
          <w:tcPr/>
          <w:p>
            <w:pPr>
              <w:pStyle w:val="Compact"/>
              <w:jc w:val="left"/>
            </w:pPr>
            <w:r>
              <w:t xml:space="preserve">✅</w:t>
            </w:r>
            <w:r>
              <w:t xml:space="preserve"> </w:t>
            </w:r>
            <w:r>
              <w:rPr>
                <w:b/>
                <w:bCs/>
              </w:rPr>
              <w:t xml:space="preserve">Ideal — maximum educational and commercial value</w:t>
            </w:r>
          </w:p>
        </w:tc>
      </w:tr>
      <w:tr>
        <w:tc>
          <w:tcPr/>
          <w:p>
            <w:pPr>
              <w:pStyle w:val="Compact"/>
              <w:jc w:val="left"/>
            </w:pPr>
            <w:r>
              <w:rPr>
                <w:b/>
                <w:bCs/>
              </w:rPr>
              <w:t xml:space="preserve">Scrap/junk metal</w:t>
            </w:r>
          </w:p>
        </w:tc>
        <w:tc>
          <w:tcPr/>
          <w:p>
            <w:pPr>
              <w:pStyle w:val="Compact"/>
              <w:jc w:val="left"/>
            </w:pPr>
            <w:r>
              <w:t xml:space="preserve">$45–$82</w:t>
            </w:r>
          </w:p>
        </w:tc>
        <w:tc>
          <w:tcPr/>
          <w:p>
            <w:pPr>
              <w:pStyle w:val="Compact"/>
              <w:jc w:val="left"/>
            </w:pPr>
            <w:r>
              <w:t xml:space="preserve">❌ Nothing</w:t>
            </w:r>
          </w:p>
        </w:tc>
        <w:tc>
          <w:tcPr/>
          <w:p>
            <w:pPr>
              <w:pStyle w:val="Compact"/>
              <w:jc w:val="left"/>
            </w:pPr>
            <w:r>
              <w:t xml:space="preserve">✅</w:t>
            </w:r>
            <w:r>
              <w:t xml:space="preserve"> </w:t>
            </w:r>
            <w:r>
              <w:rPr>
                <w:b/>
                <w:bCs/>
              </w:rPr>
              <w:t xml:space="preserve">Viable if mechanics are sound</w:t>
            </w:r>
          </w:p>
        </w:tc>
      </w:tr>
    </w:tbl>
    <w:p>
      <w:pPr>
        <w:pStyle w:val="a0"/>
      </w:pPr>
      <w:r>
        <w:t xml:space="preserve">The pricing for orphaned arms comes from</w:t>
      </w:r>
      <w:r>
        <w:t xml:space="preserve"> </w:t>
      </w:r>
      <w:r>
        <w:rPr>
          <w:b/>
          <w:bCs/>
        </w:rPr>
        <w:t xml:space="preserve">individual auction closes on Yahoo Auctions Japan</w:t>
      </w:r>
      <w:r>
        <w:t xml:space="preserve"> </w:t>
      </w:r>
      <w:r>
        <w:t xml:space="preserve">— the largest online auction platform in Japan. The following are</w:t>
      </w:r>
      <w:r>
        <w:t xml:space="preserve"> </w:t>
      </w:r>
      <w:r>
        <w:rPr>
          <w:b/>
          <w:bCs/>
        </w:rPr>
        <w:t xml:space="preserve">actual, verified auction results</w:t>
      </w:r>
      <w:r>
        <w:t xml:space="preserve">, not asking prices or estimates: a Mitsubishi RH-2FH-Q robot arm (no controller) closed at</w:t>
      </w:r>
      <w:r>
        <w:t xml:space="preserve"> </w:t>
      </w:r>
      <w:r>
        <w:rPr>
          <w:b/>
          <w:bCs/>
        </w:rPr>
        <w:t xml:space="preserve">¥21,433</w:t>
      </w:r>
      <w:r>
        <w:t xml:space="preserve"> </w:t>
      </w:r>
      <w:r>
        <w:t xml:space="preserve">(~$139); a Kawasaki vertical multi-axis robot closed at</w:t>
      </w:r>
      <w:r>
        <w:t xml:space="preserve"> </w:t>
      </w:r>
      <w:r>
        <w:rPr>
          <w:b/>
          <w:bCs/>
        </w:rPr>
        <w:t xml:space="preserve">¥30,000</w:t>
      </w:r>
      <w:r>
        <w:t xml:space="preserve"> </w:t>
      </w:r>
      <w:r>
        <w:t xml:space="preserve">(~$195); and a DAIHEN Almega AII-V6 welding robot arm (arm only, listed as junk) closed at</w:t>
      </w:r>
      <w:r>
        <w:t xml:space="preserve"> </w:t>
      </w:r>
      <w:r>
        <w:rPr>
          <w:b/>
          <w:bCs/>
        </w:rPr>
        <w:t xml:space="preserve">¥91,000</w:t>
      </w:r>
      <w:r>
        <w:t xml:space="preserve"> </w:t>
      </w:r>
      <w:r>
        <w:t xml:space="preserve">(~$592). These are individual data points, not reliable market prices — auction results vary with bidding competition, listing quality, seller reputation, and timing. They should be treated as</w:t>
      </w:r>
      <w:r>
        <w:t xml:space="preserve"> </w:t>
      </w:r>
      <w:r>
        <w:rPr>
          <w:b/>
          <w:bCs/>
        </w:rPr>
        <w:t xml:space="preserve">directional evidence</w:t>
      </w:r>
      <w:r>
        <w:t xml:space="preserve"> </w:t>
      </w:r>
      <w:r>
        <w:t xml:space="preserve">that orphaned arms sell for a small fraction of their original cost, not as quotes to plan a budget around to the dollar.</w:t>
      </w:r>
    </w:p>
    <w:p>
      <w:pPr>
        <w:pStyle w:val="a0"/>
      </w:pPr>
      <w:r>
        <w:t xml:space="preserve">When a robot arm is sold without a controller — described as</w:t>
      </w:r>
      <w:r>
        <w:t xml:space="preserve"> </w:t>
      </w:r>
      <w:r>
        <w:t xml:space="preserve">“</w:t>
      </w:r>
      <w:r>
        <w:t xml:space="preserve">arm only</w:t>
      </w:r>
      <w:r>
        <w:t xml:space="preserve">”</w:t>
      </w:r>
      <w:r>
        <w:t xml:space="preserve"> </w:t>
      </w:r>
      <w:r>
        <w:t xml:space="preserve">(アームのみ),</w:t>
      </w:r>
      <w:r>
        <w:t xml:space="preserve"> </w:t>
      </w:r>
      <w:r>
        <w:t xml:space="preserve">“</w:t>
      </w:r>
      <w:r>
        <w:t xml:space="preserve">no controller</w:t>
      </w:r>
      <w:r>
        <w:t xml:space="preserve">”</w:t>
      </w:r>
      <w:r>
        <w:t xml:space="preserve"> </w:t>
      </w:r>
      <w:r>
        <w:t xml:space="preserve">(コントローラーなし), or</w:t>
      </w:r>
      <w:r>
        <w:t xml:space="preserve"> </w:t>
      </w:r>
      <w:r>
        <w:t xml:space="preserve">“</w:t>
      </w:r>
      <w:r>
        <w:t xml:space="preserve">junk</w:t>
      </w:r>
      <w:r>
        <w:t xml:space="preserve">”</w:t>
      </w:r>
      <w:r>
        <w:t xml:space="preserve"> </w:t>
      </w:r>
      <w:r>
        <w:t xml:space="preserve">(ジャンク) — the price drops by roughly</w:t>
      </w:r>
      <w:r>
        <w:t xml:space="preserve"> </w:t>
      </w:r>
      <w:r>
        <w:rPr>
          <w:b/>
          <w:bCs/>
        </w:rPr>
        <w:t xml:space="preserve">90–99%</w:t>
      </w:r>
      <w:r>
        <w:t xml:space="preserve"> </w:t>
      </w:r>
      <w:r>
        <w:t xml:space="preserve">compared to the same arm with a working controller. The price difference is not a discount — it is a market signal that the industry considers these arms to have</w:t>
      </w:r>
      <w:r>
        <w:t xml:space="preserve"> </w:t>
      </w:r>
      <w:r>
        <w:rPr>
          <w:b/>
          <w:bCs/>
        </w:rPr>
        <w:t xml:space="preserve">zero commercial value</w:t>
      </w:r>
      <w:r>
        <w:t xml:space="preserve"> </w:t>
      </w:r>
      <w:r>
        <w:t xml:space="preserve">without their proprietary brains.</w:t>
      </w:r>
    </w:p>
    <w:p>
      <w:pPr>
        <w:pStyle w:val="a0"/>
      </w:pPr>
      <w:r>
        <w:t xml:space="preserve">CGG’s innovation is recognizing that</w:t>
      </w:r>
      <w:r>
        <w:t xml:space="preserve"> </w:t>
      </w:r>
      <w:r>
        <w:rPr>
          <w:b/>
          <w:bCs/>
        </w:rPr>
        <w:t xml:space="preserve">zero commercial value to the incumbent industry does not mean zero value overall</w:t>
      </w:r>
      <w:r>
        <w:t xml:space="preserve">. An orphaned robot arm is a mechanically sound, precision-engineered machine with decades of useful life remaining in its steel bones. It is a chassis. It is a drivetrain. It is a platform waiting for a new brain — one that CGG’s students and engineers will design, build, and own completely.</w:t>
      </w:r>
    </w:p>
    <w:bookmarkEnd w:id="21"/>
    <w:bookmarkStart w:id="22" w:name="X227372bfdb4fa49f8c7c560d67b7a840f20298f"/>
    <w:p>
      <w:pPr>
        <w:pStyle w:val="3"/>
      </w:pPr>
      <w:r>
        <w:t xml:space="preserve">1.3 Why Japanese Sellers Will Want to Work with CGG</w:t>
      </w:r>
    </w:p>
    <w:p>
      <w:pPr>
        <w:pStyle w:val="FirstParagraph"/>
      </w:pPr>
      <w:r>
        <w:t xml:space="preserve">This is not purely an arbitrage play at Japan’s expense — it is a relationship worth Japan actively wanting to be part of. Right now, an orphaned robot with no controller is worth</w:t>
      </w:r>
      <w:r>
        <w:t xml:space="preserve"> </w:t>
      </w:r>
      <w:r>
        <w:rPr>
          <w:b/>
          <w:bCs/>
        </w:rPr>
        <w:t xml:space="preserve">less than scrap</w:t>
      </w:r>
      <w:r>
        <w:t xml:space="preserve"> </w:t>
      </w:r>
      <w:r>
        <w:t xml:space="preserve">to a Japanese seller, because nobody downstream can bring it back to life. The seller’s options are limited: pay for disposal, sell for scrap metal value (approximately</w:t>
      </w:r>
      <w:r>
        <w:t xml:space="preserve"> </w:t>
      </w:r>
      <w:r>
        <w:rPr>
          <w:b/>
          <w:bCs/>
        </w:rPr>
        <w:t xml:space="preserve">¥55–¥97 per kilogram</w:t>
      </w:r>
      <w:r>
        <w:t xml:space="preserve">, or $0.35–$0.63/kg), or let it occupy warehouse space indefinitely. A 130 kg robot arm is worth at most</w:t>
      </w:r>
      <w:r>
        <w:t xml:space="preserve"> </w:t>
      </w:r>
      <w:r>
        <w:rPr>
          <w:b/>
          <w:bCs/>
        </w:rPr>
        <w:t xml:space="preserve">$82</w:t>
      </w:r>
      <w:r>
        <w:t xml:space="preserve"> </w:t>
      </w:r>
      <w:r>
        <w:t xml:space="preserve">as scrap.</w:t>
      </w:r>
    </w:p>
    <w:p>
      <w:pPr>
        <w:pStyle w:val="a0"/>
      </w:pPr>
      <w:r>
        <w:t xml:space="preserve">If CGG builds a track record of reliably reviving these units on an open-source stack, the economics change on the Japanese end too: a robot with no working controller becomes</w:t>
      </w:r>
      <w:r>
        <w:t xml:space="preserve"> </w:t>
      </w:r>
      <w:r>
        <w:rPr>
          <w:b/>
          <w:bCs/>
        </w:rPr>
        <w:t xml:space="preserve">resellable again</w:t>
      </w:r>
      <w:r>
        <w:t xml:space="preserve">, not landfill. CGG becomes the buyer who makes Japanese sellers’ unsellable inventory sellable. This is a reason for Japanese trading houses, equipment recyclers, and even OEM-adjacent dealers to sell CGG their scrap cheap — or hand it over outright — because CGG is the downstream buyer who creates value where none previously existed.</w:t>
      </w:r>
    </w:p>
    <w:p>
      <w:pPr>
        <w:pStyle w:val="a0"/>
      </w:pPr>
      <w:r>
        <w:rPr>
          <w:b/>
          <w:bCs/>
        </w:rPr>
        <w:t xml:space="preserve">A note on Mechatro Associates:</w:t>
      </w:r>
      <w:r>
        <w:t xml:space="preserve"> </w:t>
      </w:r>
      <w:r>
        <w:t xml:space="preserve">The report’s first version identified Mechatro Associates Co., Ltd. (メカトロ・アソシエーツ株式会社) as a formal used-robot buyback business launched in May 2023 under the Air Water Group, with a phone number of +81-761-21-6166. Independent verification has confirmed that</w:t>
      </w:r>
      <w:r>
        <w:t xml:space="preserve"> </w:t>
      </w:r>
      <w:r>
        <w:rPr>
          <w:b/>
          <w:bCs/>
        </w:rPr>
        <w:t xml:space="preserve">Mechatro Associates is a real company with a web presence</w:t>
      </w:r>
      <w:r>
        <w:t xml:space="preserve"> </w:t>
      </w:r>
      <w:r>
        <w:t xml:space="preserve">(including a Thailand subsidiary), but the specific claims about its Air Water Group parentage, its May 2023 launch date, and the listed phone number</w:t>
      </w:r>
      <w:r>
        <w:t xml:space="preserve"> </w:t>
      </w:r>
      <w:r>
        <w:rPr>
          <w:b/>
          <w:bCs/>
        </w:rPr>
        <w:t xml:space="preserve">could not be independently confirmed</w:t>
      </w:r>
      <w:r>
        <w:t xml:space="preserve">. The phone number appeared in the first version’s action items as something a staff member was supposed to call in Week 1.</w:t>
      </w:r>
      <w:r>
        <w:t xml:space="preserve"> </w:t>
      </w:r>
      <w:r>
        <w:rPr>
          <w:b/>
          <w:bCs/>
        </w:rPr>
        <w:t xml:space="preserve">Do not dial this number without first verifying it through the company’s actual website (mec-as.co.jp or similar) rather than trusting the report.</w:t>
      </w:r>
      <w:r>
        <w:t xml:space="preserve"> </w:t>
      </w:r>
      <w:r>
        <w:t xml:space="preserve">CGG should independently verify all contact details before reaching out.</w:t>
      </w:r>
    </w:p>
    <w:bookmarkEnd w:id="22"/>
    <w:bookmarkEnd w:id="23"/>
    <w:bookmarkStart w:id="28" w:name="X48cf787fe3af338127e87a1fe535f69262d5a04"/>
    <w:p>
      <w:pPr>
        <w:pStyle w:val="2"/>
      </w:pPr>
      <w:r>
        <w:t xml:space="preserve">2. The Plan: Two Years, Three Robots, One Capability</w:t>
      </w:r>
    </w:p>
    <w:bookmarkStart w:id="26" w:name="acquisition-sourced-not-scraped"/>
    <w:p>
      <w:pPr>
        <w:pStyle w:val="3"/>
      </w:pPr>
      <w:r>
        <w:t xml:space="preserve">2.1 Acquisition — Sourced, Not Scraped</w:t>
      </w:r>
    </w:p>
    <w:p>
      <w:pPr>
        <w:pStyle w:val="FirstParagraph"/>
      </w:pPr>
      <w:r>
        <w:t xml:space="preserve">One of CGG’s Japanese-speaking ECE staff will lead direct sourcing of three orphaned units — arms with no controller, bought cheap or, ideally, essentially given away by sellers who would otherwise pay to dispose of them. This is not a bulk-import play. It is three specific robots, chosen deliberately, that become CGG’s reference platforms for the next two years.</w:t>
      </w:r>
    </w:p>
    <w:bookmarkStart w:id="24" w:name="sourcing-channels-and-expected-costs"/>
    <w:p>
      <w:pPr>
        <w:pStyle w:val="4"/>
      </w:pPr>
      <w:r>
        <w:t xml:space="preserve">2.1.1 Sourcing Channels and Expected Costs</w:t>
      </w:r>
    </w:p>
    <w:tbl>
      <w:tblPr>
        <w:tblStyle w:val="Table"/>
        <w:tblW w:type="pct" w:w="5000"/>
        <w:jc w:val="left"/>
        <w:tblLayout w:type="fixed"/>
        <w:tblLook w:firstRow="1" w:lastRow="0" w:firstColumn="0" w:lastColumn="0" w:noHBand="0" w:noVBand="0" w:val="0020"/>
      </w:tblPr>
      <w:tblGrid>
        <w:gridCol w:w="1272"/>
        <w:gridCol w:w="3111"/>
        <w:gridCol w:w="848"/>
        <w:gridCol w:w="848"/>
        <w:gridCol w:w="1838"/>
      </w:tblGrid>
      <w:tr>
        <w:trPr>
          <w:tblHeader w:val="on"/>
        </w:trPr>
        <w:tc>
          <w:tcPr/>
          <w:p>
            <w:pPr>
              <w:pStyle w:val="Compact"/>
              <w:jc w:val="left"/>
            </w:pPr>
            <w:r>
              <w:t xml:space="preserve">Channel</w:t>
            </w:r>
          </w:p>
        </w:tc>
        <w:tc>
          <w:tcPr/>
          <w:p>
            <w:pPr>
              <w:pStyle w:val="Compact"/>
              <w:jc w:val="left"/>
            </w:pPr>
            <w:r>
              <w:t xml:space="preserve">Expected Price per Arm</w:t>
            </w:r>
          </w:p>
        </w:tc>
        <w:tc>
          <w:tcPr/>
          <w:p>
            <w:pPr>
              <w:pStyle w:val="Compact"/>
              <w:jc w:val="left"/>
            </w:pPr>
            <w:r>
              <w:t xml:space="preserve">Pros</w:t>
            </w:r>
          </w:p>
        </w:tc>
        <w:tc>
          <w:tcPr/>
          <w:p>
            <w:pPr>
              <w:pStyle w:val="Compact"/>
              <w:jc w:val="left"/>
            </w:pPr>
            <w:r>
              <w:t xml:space="preserve">Cons</w:t>
            </w:r>
          </w:p>
        </w:tc>
        <w:tc>
          <w:tcPr/>
          <w:p>
            <w:pPr>
              <w:pStyle w:val="Compact"/>
              <w:jc w:val="left"/>
            </w:pPr>
            <w:r>
              <w:t xml:space="preserve">CGG Priority</w:t>
            </w:r>
          </w:p>
        </w:tc>
      </w:tr>
      <w:tr>
        <w:tc>
          <w:tcPr/>
          <w:p>
            <w:pPr>
              <w:pStyle w:val="Compact"/>
              <w:jc w:val="left"/>
            </w:pPr>
            <w:r>
              <w:rPr>
                <w:b/>
                <w:bCs/>
              </w:rPr>
              <w:t xml:space="preserve">Yahoo Auctions Japan</w:t>
            </w:r>
          </w:p>
        </w:tc>
        <w:tc>
          <w:tcPr/>
          <w:p>
            <w:pPr>
              <w:pStyle w:val="Compact"/>
              <w:jc w:val="left"/>
            </w:pPr>
            <w:r>
              <w:t xml:space="preserve">$140–$650</w:t>
            </w:r>
          </w:p>
        </w:tc>
        <w:tc>
          <w:tcPr/>
          <w:p>
            <w:pPr>
              <w:pStyle w:val="Compact"/>
              <w:jc w:val="left"/>
            </w:pPr>
            <w:r>
              <w:t xml:space="preserve">Cheapest; vast inventory; real auction prices</w:t>
            </w:r>
          </w:p>
        </w:tc>
        <w:tc>
          <w:tcPr/>
          <w:p>
            <w:pPr>
              <w:pStyle w:val="Compact"/>
              <w:jc w:val="left"/>
            </w:pPr>
            <w:r>
              <w:t xml:space="preserve">Requires proxy service + separate freight; individual auction prices vary widely</w:t>
            </w:r>
          </w:p>
        </w:tc>
        <w:tc>
          <w:tcPr/>
          <w:p>
            <w:pPr>
              <w:pStyle w:val="Compact"/>
              <w:jc w:val="left"/>
            </w:pPr>
            <w:r>
              <w:rPr>
                <w:b/>
                <w:bCs/>
              </w:rPr>
              <w:t xml:space="preserve">Primary</w:t>
            </w:r>
          </w:p>
        </w:tc>
      </w:tr>
      <w:tr>
        <w:tc>
          <w:tcPr/>
          <w:p>
            <w:pPr>
              <w:pStyle w:val="Compact"/>
              <w:jc w:val="left"/>
            </w:pPr>
            <w:r>
              <w:rPr>
                <w:b/>
                <w:bCs/>
              </w:rPr>
              <w:t xml:space="preserve">Japanese used robot dealers</w:t>
            </w:r>
          </w:p>
        </w:tc>
        <w:tc>
          <w:tcPr/>
          <w:p>
            <w:pPr>
              <w:pStyle w:val="Compact"/>
              <w:jc w:val="left"/>
            </w:pPr>
            <w:r>
              <w:t xml:space="preserve">$300–$1,000</w:t>
            </w:r>
          </w:p>
        </w:tc>
        <w:tc>
          <w:tcPr/>
          <w:p>
            <w:pPr>
              <w:pStyle w:val="Compact"/>
              <w:jc w:val="left"/>
            </w:pPr>
            <w:r>
              <w:t xml:space="preserve">Verified condition; export experience; bulk pricing</w:t>
            </w:r>
          </w:p>
        </w:tc>
        <w:tc>
          <w:tcPr/>
          <w:p>
            <w:pPr>
              <w:pStyle w:val="Compact"/>
              <w:jc w:val="left"/>
            </w:pPr>
            <w:r>
              <w:t xml:space="preserve">Higher prices; minimum order quantities; requires verification of dealer claims</w:t>
            </w:r>
          </w:p>
        </w:tc>
        <w:tc>
          <w:tcPr/>
          <w:p>
            <w:pPr>
              <w:pStyle w:val="Compact"/>
              <w:jc w:val="left"/>
            </w:pPr>
            <w:r>
              <w:rPr>
                <w:b/>
                <w:bCs/>
              </w:rPr>
              <w:t xml:space="preserve">Secondary</w:t>
            </w:r>
          </w:p>
        </w:tc>
      </w:tr>
      <w:tr>
        <w:tc>
          <w:tcPr/>
          <w:p>
            <w:pPr>
              <w:pStyle w:val="Compact"/>
              <w:jc w:val="left"/>
            </w:pPr>
            <w:r>
              <w:rPr>
                <w:b/>
                <w:bCs/>
              </w:rPr>
              <w:t xml:space="preserve">JMty.jp (free listings)</w:t>
            </w:r>
          </w:p>
        </w:tc>
        <w:tc>
          <w:tcPr/>
          <w:p>
            <w:pPr>
              <w:pStyle w:val="Compact"/>
              <w:jc w:val="left"/>
            </w:pPr>
            <w:r>
              <w:t xml:space="preserve">$0–$50</w:t>
            </w:r>
          </w:p>
        </w:tc>
        <w:tc>
          <w:tcPr/>
          <w:p>
            <w:pPr>
              <w:pStyle w:val="Compact"/>
              <w:jc w:val="left"/>
            </w:pPr>
            <w:r>
              <w:t xml:space="preserve">Potentially free</w:t>
            </w:r>
          </w:p>
        </w:tc>
        <w:tc>
          <w:tcPr/>
          <w:p>
            <w:pPr>
              <w:pStyle w:val="Compact"/>
              <w:jc w:val="left"/>
            </w:pPr>
            <w:r>
              <w:t xml:space="preserve">Very rare; requires domestic pickup in Japan; condition unknown</w:t>
            </w:r>
          </w:p>
        </w:tc>
        <w:tc>
          <w:tcPr/>
          <w:p>
            <w:pPr>
              <w:pStyle w:val="Compact"/>
              <w:jc w:val="left"/>
            </w:pPr>
            <w:r>
              <w:rPr>
                <w:b/>
                <w:bCs/>
              </w:rPr>
              <w:t xml:space="preserve">Opportunistic</w:t>
            </w:r>
          </w:p>
        </w:tc>
      </w:tr>
      <w:tr>
        <w:tc>
          <w:tcPr/>
          <w:p>
            <w:pPr>
              <w:pStyle w:val="Compact"/>
              <w:jc w:val="left"/>
            </w:pPr>
            <w:r>
              <w:rPr>
                <w:b/>
                <w:bCs/>
              </w:rPr>
              <w:t xml:space="preserve">Arigato Corporation</w:t>
            </w:r>
            <w:r>
              <w:t xml:space="preserve"> </w:t>
            </w:r>
            <w:r>
              <w:t xml:space="preserve">(exports to PH)</w:t>
            </w:r>
          </w:p>
        </w:tc>
        <w:tc>
          <w:tcPr/>
          <w:p>
            <w:pPr>
              <w:pStyle w:val="Compact"/>
              <w:jc w:val="left"/>
            </w:pPr>
            <w:r>
              <w:t xml:space="preserve">Negotiable</w:t>
            </w:r>
          </w:p>
        </w:tc>
        <w:tc>
          <w:tcPr/>
          <w:p>
            <w:pPr>
              <w:pStyle w:val="Compact"/>
              <w:jc w:val="left"/>
            </w:pPr>
            <w:r>
              <w:t xml:space="preserve">Already exports to Philippines; WhatsApp contact in English</w:t>
            </w:r>
          </w:p>
        </w:tc>
        <w:tc>
          <w:tcPr/>
          <w:p>
            <w:pPr>
              <w:pStyle w:val="Compact"/>
              <w:jc w:val="left"/>
            </w:pPr>
            <w:r>
              <w:t xml:space="preserve">Used machinery generalist; may not specialize in robots</w:t>
            </w:r>
          </w:p>
        </w:tc>
        <w:tc>
          <w:tcPr/>
          <w:p>
            <w:pPr>
              <w:pStyle w:val="Compact"/>
              <w:jc w:val="left"/>
            </w:pPr>
            <w:r>
              <w:rPr>
                <w:b/>
                <w:bCs/>
              </w:rPr>
              <w:t xml:space="preserve">For freight/logistics</w:t>
            </w:r>
          </w:p>
        </w:tc>
      </w:tr>
    </w:tbl>
    <w:p>
      <w:pPr>
        <w:pStyle w:val="a0"/>
      </w:pPr>
      <w:r>
        <w:t xml:space="preserve">The</w:t>
      </w:r>
      <w:r>
        <w:t xml:space="preserve"> </w:t>
      </w:r>
      <w:r>
        <w:rPr>
          <w:b/>
          <w:bCs/>
        </w:rPr>
        <w:t xml:space="preserve">Yahoo Auctions Japan route</w:t>
      </w:r>
      <w:r>
        <w:t xml:space="preserve"> </w:t>
      </w:r>
      <w:r>
        <w:t xml:space="preserve">is CGG’s primary channel. With a Japanese-speaking staff member, the language barrier is eliminated. The staff member can browse auctions directly, communicate with sellers, and arrange domestic logistics in Japan. This is a significant advantage over international buyers who must rely on proxy services and translation tools.</w:t>
      </w:r>
    </w:p>
    <w:p>
      <w:pPr>
        <w:pStyle w:val="a0"/>
      </w:pPr>
      <w:r>
        <w:rPr>
          <w:b/>
          <w:bCs/>
        </w:rPr>
        <w:t xml:space="preserve">A critical limitation:</w:t>
      </w:r>
      <w:r>
        <w:t xml:space="preserve"> </w:t>
      </w:r>
      <w:r>
        <w:t xml:space="preserve">Japanese proxy buying services (Buyee, FROM JAPAN, ZenMarket) all cap package weight at</w:t>
      </w:r>
      <w:r>
        <w:t xml:space="preserve"> </w:t>
      </w:r>
      <w:r>
        <w:rPr>
          <w:b/>
          <w:bCs/>
        </w:rPr>
        <w:t xml:space="preserve">30 kg maximum</w:t>
      </w:r>
      <w:r>
        <w:t xml:space="preserve"> </w:t>
      </w:r>
      <w:r>
        <w:t xml:space="preserve">per parcel, with length restrictions of 1.5 meters. Robot arms weigh 100–300 kg and measure 1,400–1,800 mm when crated. This means proxy services can handle the</w:t>
      </w:r>
      <w:r>
        <w:t xml:space="preserve"> </w:t>
      </w:r>
      <w:r>
        <w:rPr>
          <w:b/>
          <w:bCs/>
        </w:rPr>
        <w:t xml:space="preserve">purchase and bidding</w:t>
      </w:r>
      <w:r>
        <w:t xml:space="preserve"> </w:t>
      </w:r>
      <w:r>
        <w:t xml:space="preserve">but cannot ship the physical item internationally. The workflow is: (1) use proxy service to win the auction, (2) have proxy receive item at their Japanese warehouse, (3) arrange a freight forwarder to pick up from the proxy warehouse and handle sea freight to Manila.</w:t>
      </w:r>
    </w:p>
    <w:bookmarkEnd w:id="24"/>
    <w:bookmarkStart w:id="25" w:name="recommended-robot-models-to-target"/>
    <w:p>
      <w:pPr>
        <w:pStyle w:val="4"/>
      </w:pPr>
      <w:r>
        <w:t xml:space="preserve">2.1.2 Recommended Robot Models to Target</w:t>
      </w:r>
    </w:p>
    <w:p>
      <w:pPr>
        <w:pStyle w:val="FirstParagraph"/>
      </w:pPr>
      <w:r>
        <w:t xml:space="preserve">Based on Yahoo Auctions data, open-source controller compatibility, and CGG’s educational and commercial goals:</w:t>
      </w:r>
    </w:p>
    <w:tbl>
      <w:tblPr>
        <w:tblStyle w:val="Table"/>
        <w:tblW w:type="pct" w:w="5000"/>
        <w:jc w:val="left"/>
        <w:tblLayout w:type="fixed"/>
        <w:tblLook w:firstRow="1" w:lastRow="0" w:firstColumn="0" w:lastColumn="0" w:noHBand="0" w:noVBand="0" w:val="0020"/>
      </w:tblPr>
      <w:tblGrid>
        <w:gridCol w:w="840"/>
        <w:gridCol w:w="1560"/>
        <w:gridCol w:w="1080"/>
        <w:gridCol w:w="2640"/>
        <w:gridCol w:w="1800"/>
      </w:tblGrid>
      <w:tr>
        <w:trPr>
          <w:tblHeader w:val="on"/>
        </w:trPr>
        <w:tc>
          <w:tcPr/>
          <w:p>
            <w:pPr>
              <w:pStyle w:val="Compact"/>
              <w:jc w:val="left"/>
            </w:pPr>
            <w:r>
              <w:t xml:space="preserve">Model</w:t>
            </w:r>
          </w:p>
        </w:tc>
        <w:tc>
          <w:tcPr/>
          <w:p>
            <w:pPr>
              <w:pStyle w:val="Compact"/>
              <w:jc w:val="left"/>
            </w:pPr>
            <w:r>
              <w:t xml:space="preserve">Manufacturer</w:t>
            </w:r>
          </w:p>
        </w:tc>
        <w:tc>
          <w:tcPr/>
          <w:p>
            <w:pPr>
              <w:pStyle w:val="Compact"/>
              <w:jc w:val="left"/>
            </w:pPr>
            <w:r>
              <w:t xml:space="preserve">Payload</w:t>
            </w:r>
          </w:p>
        </w:tc>
        <w:tc>
          <w:tcPr/>
          <w:p>
            <w:pPr>
              <w:pStyle w:val="Compact"/>
              <w:jc w:val="left"/>
            </w:pPr>
            <w:r>
              <w:t xml:space="preserve">Typical Auction Range</w:t>
            </w:r>
          </w:p>
        </w:tc>
        <w:tc>
          <w:tcPr/>
          <w:p>
            <w:pPr>
              <w:pStyle w:val="Compact"/>
              <w:jc w:val="left"/>
            </w:pPr>
            <w:r>
              <w:t xml:space="preserve">Why Target It</w:t>
            </w:r>
          </w:p>
        </w:tc>
      </w:tr>
      <w:tr>
        <w:tc>
          <w:tcPr/>
          <w:p>
            <w:pPr>
              <w:pStyle w:val="Compact"/>
              <w:jc w:val="left"/>
            </w:pPr>
            <w:r>
              <w:rPr>
                <w:b/>
                <w:bCs/>
              </w:rPr>
              <w:t xml:space="preserve">Mitsubishi MELFA RV-3S/RV-3SQ</w:t>
            </w:r>
          </w:p>
        </w:tc>
        <w:tc>
          <w:tcPr/>
          <w:p>
            <w:pPr>
              <w:pStyle w:val="Compact"/>
              <w:jc w:val="left"/>
            </w:pPr>
            <w:r>
              <w:t xml:space="preserve">Mitsubishi Electric</w:t>
            </w:r>
          </w:p>
        </w:tc>
        <w:tc>
          <w:tcPr/>
          <w:p>
            <w:pPr>
              <w:pStyle w:val="Compact"/>
              <w:jc w:val="left"/>
            </w:pPr>
            <w:r>
              <w:t xml:space="preserve">3 kg</w:t>
            </w:r>
          </w:p>
        </w:tc>
        <w:tc>
          <w:tcPr/>
          <w:p>
            <w:pPr>
              <w:pStyle w:val="Compact"/>
              <w:jc w:val="left"/>
            </w:pPr>
            <w:r>
              <w:t xml:space="preserve">¥80,000–¥150,000 ($520–$975)</w:t>
            </w:r>
          </w:p>
        </w:tc>
        <w:tc>
          <w:tcPr/>
          <w:p>
            <w:pPr>
              <w:pStyle w:val="Compact"/>
              <w:jc w:val="left"/>
            </w:pPr>
            <w:r>
              <w:t xml:space="preserve">Common, well-documented, simple encoders</w:t>
            </w:r>
          </w:p>
        </w:tc>
      </w:tr>
      <w:tr>
        <w:tc>
          <w:tcPr/>
          <w:p>
            <w:pPr>
              <w:pStyle w:val="Compact"/>
              <w:jc w:val="left"/>
            </w:pPr>
            <w:r>
              <w:rPr>
                <w:b/>
                <w:bCs/>
              </w:rPr>
              <w:t xml:space="preserve">Mitsubishi MELFA RV-4FRL</w:t>
            </w:r>
          </w:p>
        </w:tc>
        <w:tc>
          <w:tcPr/>
          <w:p>
            <w:pPr>
              <w:pStyle w:val="Compact"/>
              <w:jc w:val="left"/>
            </w:pPr>
            <w:r>
              <w:t xml:space="preserve">Mitsubishi Electric</w:t>
            </w:r>
          </w:p>
        </w:tc>
        <w:tc>
          <w:tcPr/>
          <w:p>
            <w:pPr>
              <w:pStyle w:val="Compact"/>
              <w:jc w:val="left"/>
            </w:pPr>
            <w:r>
              <w:t xml:space="preserve">4 kg</w:t>
            </w:r>
          </w:p>
        </w:tc>
        <w:tc>
          <w:tcPr/>
          <w:p>
            <w:pPr>
              <w:pStyle w:val="Compact"/>
              <w:jc w:val="left"/>
            </w:pPr>
            <w:r>
              <w:t xml:space="preserve">¥80,000–¥150,000 ($520–$975)</w:t>
            </w:r>
          </w:p>
        </w:tc>
        <w:tc>
          <w:tcPr/>
          <w:p>
            <w:pPr>
              <w:pStyle w:val="Compact"/>
              <w:jc w:val="left"/>
            </w:pPr>
            <w:r>
              <w:t xml:space="preserve">6-axis, good for education; one dealer lists 15 units</w:t>
            </w:r>
          </w:p>
        </w:tc>
      </w:tr>
      <w:tr>
        <w:tc>
          <w:tcPr/>
          <w:p>
            <w:pPr>
              <w:pStyle w:val="Compact"/>
              <w:jc w:val="left"/>
            </w:pPr>
            <w:r>
              <w:rPr>
                <w:b/>
                <w:bCs/>
              </w:rPr>
              <w:t xml:space="preserve">Kawasaki small vertical robots</w:t>
            </w:r>
          </w:p>
        </w:tc>
        <w:tc>
          <w:tcPr/>
          <w:p>
            <w:pPr>
              <w:pStyle w:val="Compact"/>
              <w:jc w:val="left"/>
            </w:pPr>
            <w:r>
              <w:t xml:space="preserve">Kawasaki Heavy Industries</w:t>
            </w:r>
          </w:p>
        </w:tc>
        <w:tc>
          <w:tcPr/>
          <w:p>
            <w:pPr>
              <w:pStyle w:val="Compact"/>
              <w:jc w:val="left"/>
            </w:pPr>
            <w:r>
              <w:t xml:space="preserve">3–6 kg</w:t>
            </w:r>
          </w:p>
        </w:tc>
        <w:tc>
          <w:tcPr/>
          <w:p>
            <w:pPr>
              <w:pStyle w:val="Compact"/>
              <w:jc w:val="left"/>
            </w:pPr>
            <w:r>
              <w:t xml:space="preserve">¥30,000–¥100,000 ($195–$650)</w:t>
            </w:r>
          </w:p>
        </w:tc>
        <w:tc>
          <w:tcPr/>
          <w:p>
            <w:pPr>
              <w:pStyle w:val="Compact"/>
              <w:jc w:val="left"/>
            </w:pPr>
            <w:r>
              <w:t xml:space="preserve">Simple mechanical design, robust, cheap</w:t>
            </w:r>
          </w:p>
        </w:tc>
      </w:tr>
      <w:tr>
        <w:tc>
          <w:tcPr/>
          <w:p>
            <w:pPr>
              <w:pStyle w:val="Compact"/>
              <w:jc w:val="left"/>
            </w:pPr>
            <w:r>
              <w:rPr>
                <w:b/>
                <w:bCs/>
              </w:rPr>
              <w:t xml:space="preserve">DAIHEN Almega AII-V6</w:t>
            </w:r>
          </w:p>
        </w:tc>
        <w:tc>
          <w:tcPr/>
          <w:p>
            <w:pPr>
              <w:pStyle w:val="Compact"/>
              <w:jc w:val="left"/>
            </w:pPr>
            <w:r>
              <w:t xml:space="preserve">DAIHEN</w:t>
            </w:r>
          </w:p>
        </w:tc>
        <w:tc>
          <w:tcPr/>
          <w:p>
            <w:pPr>
              <w:pStyle w:val="Compact"/>
              <w:jc w:val="left"/>
            </w:pPr>
            <w:r>
              <w:t xml:space="preserve">6 kg</w:t>
            </w:r>
          </w:p>
        </w:tc>
        <w:tc>
          <w:tcPr/>
          <w:p>
            <w:pPr>
              <w:pStyle w:val="Compact"/>
              <w:jc w:val="left"/>
            </w:pPr>
            <w:r>
              <w:t xml:space="preserve">¥50,000–¥150,000 ($325–$975)</w:t>
            </w:r>
          </w:p>
        </w:tc>
        <w:tc>
          <w:tcPr/>
          <w:p>
            <w:pPr>
              <w:pStyle w:val="Compact"/>
              <w:jc w:val="left"/>
            </w:pPr>
            <w:r>
              <w:t xml:space="preserve">Welding robot, arm-only often very cheap</w:t>
            </w:r>
          </w:p>
        </w:tc>
      </w:tr>
      <w:tr>
        <w:tc>
          <w:tcPr/>
          <w:p>
            <w:pPr>
              <w:pStyle w:val="Compact"/>
              <w:jc w:val="left"/>
            </w:pPr>
            <w:r>
              <w:rPr>
                <w:b/>
                <w:bCs/>
              </w:rPr>
              <w:t xml:space="preserve">Yaskawa Motoman UP6/HP6/MH6</w:t>
            </w:r>
          </w:p>
        </w:tc>
        <w:tc>
          <w:tcPr/>
          <w:p>
            <w:pPr>
              <w:pStyle w:val="Compact"/>
              <w:jc w:val="left"/>
            </w:pPr>
            <w:r>
              <w:t xml:space="preserve">Yaskawa Electric</w:t>
            </w:r>
          </w:p>
        </w:tc>
        <w:tc>
          <w:tcPr/>
          <w:p>
            <w:pPr>
              <w:pStyle w:val="Compact"/>
              <w:jc w:val="left"/>
            </w:pPr>
            <w:r>
              <w:t xml:space="preserve">6 kg</w:t>
            </w:r>
          </w:p>
        </w:tc>
        <w:tc>
          <w:tcPr/>
          <w:p>
            <w:pPr>
              <w:pStyle w:val="Compact"/>
              <w:jc w:val="left"/>
            </w:pPr>
            <w:r>
              <w:t xml:space="preserve">¥100,000–¥300,000 ($650–$1,950)</w:t>
            </w:r>
          </w:p>
        </w:tc>
        <w:tc>
          <w:tcPr/>
          <w:p>
            <w:pPr>
              <w:pStyle w:val="Compact"/>
              <w:jc w:val="left"/>
            </w:pPr>
            <w:r>
              <w:t xml:space="preserve">Best open-source community support</w:t>
            </w:r>
          </w:p>
        </w:tc>
      </w:tr>
      <w:tr>
        <w:tc>
          <w:tcPr/>
          <w:p>
            <w:pPr>
              <w:pStyle w:val="Compact"/>
              <w:jc w:val="left"/>
            </w:pPr>
            <w:r>
              <w:rPr>
                <w:b/>
                <w:bCs/>
              </w:rPr>
              <w:t xml:space="preserve">Fanuc LR Mate 100/200iC</w:t>
            </w:r>
          </w:p>
        </w:tc>
        <w:tc>
          <w:tcPr/>
          <w:p>
            <w:pPr>
              <w:pStyle w:val="Compact"/>
              <w:jc w:val="left"/>
            </w:pPr>
            <w:r>
              <w:t xml:space="preserve">Fanuc</w:t>
            </w:r>
          </w:p>
        </w:tc>
        <w:tc>
          <w:tcPr/>
          <w:p>
            <w:pPr>
              <w:pStyle w:val="Compact"/>
              <w:jc w:val="left"/>
            </w:pPr>
            <w:r>
              <w:t xml:space="preserve">5–7 kg</w:t>
            </w:r>
          </w:p>
        </w:tc>
        <w:tc>
          <w:tcPr/>
          <w:p>
            <w:pPr>
              <w:pStyle w:val="Compact"/>
              <w:jc w:val="left"/>
            </w:pPr>
            <w:r>
              <w:t xml:space="preserve">¥100,000–¥350,000 ($650–$2,275)</w:t>
            </w:r>
          </w:p>
        </w:tc>
        <w:tc>
          <w:tcPr/>
          <w:p>
            <w:pPr>
              <w:pStyle w:val="Compact"/>
              <w:jc w:val="left"/>
            </w:pPr>
            <w:r>
              <w:t xml:space="preserve">Very common, compact, lightweight</w:t>
            </w:r>
          </w:p>
        </w:tc>
      </w:tr>
    </w:tbl>
    <w:p>
      <w:pPr>
        <w:pStyle w:val="a0"/>
      </w:pPr>
      <w:r>
        <w:rPr>
          <w:b/>
          <w:bCs/>
        </w:rPr>
        <w:t xml:space="preserve">Avoid:</w:t>
      </w:r>
      <w:r>
        <w:t xml:space="preserve"> </w:t>
      </w:r>
      <w:r>
        <w:t xml:space="preserve">Very old Fanuc models with proprietary resolver encoders (extremely difficult to reverse-engineer), large robots over 500 kg (shipping becomes prohibitive), and robots with missing major structural components.</w:t>
      </w:r>
    </w:p>
    <w:p>
      <w:pPr>
        <w:pStyle w:val="a0"/>
      </w:pPr>
      <w:r>
        <w:t xml:space="preserve">The ideal</w:t>
      </w:r>
      <w:r>
        <w:t xml:space="preserve"> </w:t>
      </w:r>
      <w:r>
        <w:rPr>
          <w:b/>
          <w:bCs/>
        </w:rPr>
        <w:t xml:space="preserve">three-robot portfolio</w:t>
      </w:r>
      <w:r>
        <w:t xml:space="preserve"> </w:t>
      </w:r>
      <w:r>
        <w:t xml:space="preserve">for CGG’s first phase:</w:t>
      </w:r>
    </w:p>
    <w:p>
      <w:pPr>
        <w:pStyle w:val="Compact"/>
        <w:numPr>
          <w:ilvl w:val="0"/>
          <w:numId w:val="1001"/>
        </w:numPr>
      </w:pPr>
      <w:r>
        <w:rPr>
          <w:b/>
          <w:bCs/>
        </w:rPr>
        <w:t xml:space="preserve">One Mitsubishi MELFA RV-3SQ or RV-4FRL</w:t>
      </w:r>
      <w:r>
        <w:t xml:space="preserve"> </w:t>
      </w:r>
      <w:r>
        <w:t xml:space="preserve">— small, simple, excellent for initial controller development and student learning</w:t>
      </w:r>
    </w:p>
    <w:p>
      <w:pPr>
        <w:pStyle w:val="Compact"/>
        <w:numPr>
          <w:ilvl w:val="0"/>
          <w:numId w:val="1001"/>
        </w:numPr>
      </w:pPr>
      <w:r>
        <w:rPr>
          <w:b/>
          <w:bCs/>
        </w:rPr>
        <w:t xml:space="preserve">One Kawasaki or DAIHEN arm at scrap-level price</w:t>
      </w:r>
      <w:r>
        <w:t xml:space="preserve"> </w:t>
      </w:r>
      <w:r>
        <w:t xml:space="preserve">— the</w:t>
      </w:r>
      <w:r>
        <w:t xml:space="preserve"> </w:t>
      </w:r>
      <w:r>
        <w:t xml:space="preserve">“</w:t>
      </w:r>
      <w:r>
        <w:t xml:space="preserve">practice</w:t>
      </w:r>
      <w:r>
        <w:t xml:space="preserve">”</w:t>
      </w:r>
      <w:r>
        <w:t xml:space="preserve"> </w:t>
      </w:r>
      <w:r>
        <w:t xml:space="preserve">unit for aggressive reverse-engineering and mechanical experimentation</w:t>
      </w:r>
    </w:p>
    <w:p>
      <w:pPr>
        <w:pStyle w:val="Compact"/>
        <w:numPr>
          <w:ilvl w:val="0"/>
          <w:numId w:val="1001"/>
        </w:numPr>
      </w:pPr>
      <w:r>
        <w:rPr>
          <w:b/>
          <w:bCs/>
        </w:rPr>
        <w:t xml:space="preserve">One Yaskawa Motoman UP6 or Fanuc LR Mate 200iC</w:t>
      </w:r>
      <w:r>
        <w:t xml:space="preserve"> </w:t>
      </w:r>
      <w:r>
        <w:t xml:space="preserve">— the</w:t>
      </w:r>
      <w:r>
        <w:t xml:space="preserve"> </w:t>
      </w:r>
      <w:r>
        <w:t xml:space="preserve">“</w:t>
      </w:r>
      <w:r>
        <w:t xml:space="preserve">flagship</w:t>
      </w:r>
      <w:r>
        <w:t xml:space="preserve">”</w:t>
      </w:r>
      <w:r>
        <w:t xml:space="preserve"> </w:t>
      </w:r>
      <w:r>
        <w:t xml:space="preserve">unit with the strongest open-source community support for advanced development</w:t>
      </w:r>
    </w:p>
    <w:bookmarkEnd w:id="25"/>
    <w:bookmarkEnd w:id="26"/>
    <w:bookmarkStart w:id="27" w:name="shipping-and-logistics-japan-to-manila"/>
    <w:p>
      <w:pPr>
        <w:pStyle w:val="3"/>
      </w:pPr>
      <w:r>
        <w:t xml:space="preserve">2.2 Shipping and Logistics: Japan to Manila</w:t>
      </w:r>
    </w:p>
    <w:p>
      <w:pPr>
        <w:pStyle w:val="FirstParagraph"/>
      </w:pPr>
      <w:r>
        <w:t xml:space="preserve">For a shipment of</w:t>
      </w:r>
      <w:r>
        <w:t xml:space="preserve"> </w:t>
      </w:r>
      <w:r>
        <w:rPr>
          <w:b/>
          <w:bCs/>
        </w:rPr>
        <w:t xml:space="preserve">three robot arms</w:t>
      </w:r>
      <w:r>
        <w:t xml:space="preserve"> </w:t>
      </w:r>
      <w:r>
        <w:t xml:space="preserve">weighing approximately</w:t>
      </w:r>
      <w:r>
        <w:t xml:space="preserve"> </w:t>
      </w:r>
      <w:r>
        <w:rPr>
          <w:b/>
          <w:bCs/>
        </w:rPr>
        <w:t xml:space="preserve">400–600 kg total</w:t>
      </w:r>
      <w:r>
        <w:t xml:space="preserve"> </w:t>
      </w:r>
      <w:r>
        <w:t xml:space="preserve">and occupying</w:t>
      </w:r>
      <w:r>
        <w:t xml:space="preserve"> </w:t>
      </w:r>
      <w:r>
        <w:rPr>
          <w:b/>
          <w:bCs/>
        </w:rPr>
        <w:t xml:space="preserve">3–6 CBM</w:t>
      </w:r>
      <w:r>
        <w:t xml:space="preserve"> </w:t>
      </w:r>
      <w:r>
        <w:t xml:space="preserve">when crated, sea freight is the only viable option. The Japan-Philippines intra-Asia route offers some of the cheapest ocean freight rates in the world.</w:t>
      </w:r>
    </w:p>
    <w:tbl>
      <w:tblPr>
        <w:tblStyle w:val="Table"/>
        <w:tblW w:type="pct" w:w="5000"/>
        <w:jc w:val="left"/>
        <w:tblLayout w:type="fixed"/>
        <w:tblLook w:firstRow="1" w:lastRow="0" w:firstColumn="0" w:lastColumn="0" w:noHBand="0" w:noVBand="0" w:val="0020"/>
      </w:tblPr>
      <w:tblGrid>
        <w:gridCol w:w="2011"/>
        <w:gridCol w:w="2388"/>
        <w:gridCol w:w="2640"/>
        <w:gridCol w:w="880"/>
      </w:tblGrid>
      <w:tr>
        <w:trPr>
          <w:tblHeader w:val="on"/>
        </w:trPr>
        <w:tc>
          <w:tcPr/>
          <w:p>
            <w:pPr>
              <w:pStyle w:val="Compact"/>
              <w:jc w:val="left"/>
            </w:pPr>
            <w:r>
              <w:t xml:space="preserve">Cost Component</w:t>
            </w:r>
          </w:p>
        </w:tc>
        <w:tc>
          <w:tcPr/>
          <w:p>
            <w:pPr>
              <w:pStyle w:val="Compact"/>
              <w:jc w:val="left"/>
            </w:pPr>
            <w:r>
              <w:t xml:space="preserve">Budget (3 robots)</w:t>
            </w:r>
          </w:p>
        </w:tc>
        <w:tc>
          <w:tcPr/>
          <w:p>
            <w:pPr>
              <w:pStyle w:val="Compact"/>
              <w:jc w:val="left"/>
            </w:pPr>
            <w:r>
              <w:t xml:space="preserve">Mid-Range (3 robots)</w:t>
            </w:r>
          </w:p>
        </w:tc>
        <w:tc>
          <w:tcPr/>
          <w:p>
            <w:pPr>
              <w:pStyle w:val="Compact"/>
              <w:jc w:val="left"/>
            </w:pPr>
            <w:r>
              <w:t xml:space="preserve">Notes</w:t>
            </w:r>
          </w:p>
        </w:tc>
      </w:tr>
      <w:tr>
        <w:tc>
          <w:tcPr/>
          <w:p>
            <w:pPr>
              <w:pStyle w:val="Compact"/>
              <w:jc w:val="left"/>
            </w:pPr>
            <w:r>
              <w:rPr>
                <w:b/>
                <w:bCs/>
              </w:rPr>
              <w:t xml:space="preserve">Robot purchase</w:t>
            </w:r>
            <w:r>
              <w:t xml:space="preserve"> </w:t>
            </w:r>
            <w:r>
              <w:t xml:space="preserve">(Yahoo Auctions)</w:t>
            </w:r>
          </w:p>
        </w:tc>
        <w:tc>
          <w:tcPr/>
          <w:p>
            <w:pPr>
              <w:pStyle w:val="Compact"/>
              <w:jc w:val="left"/>
            </w:pPr>
            <w:r>
              <w:t xml:space="preserve">$420 (3×$140)</w:t>
            </w:r>
          </w:p>
        </w:tc>
        <w:tc>
          <w:tcPr/>
          <w:p>
            <w:pPr>
              <w:pStyle w:val="Compact"/>
              <w:jc w:val="left"/>
            </w:pPr>
            <w:r>
              <w:t xml:space="preserve">$1,500 (3×$500)</w:t>
            </w:r>
          </w:p>
        </w:tc>
        <w:tc>
          <w:tcPr/>
          <w:p>
            <w:pPr>
              <w:pStyle w:val="Compact"/>
              <w:jc w:val="left"/>
            </w:pPr>
            <w:r>
              <w:t xml:space="preserve">Individual auction prices; varies widely</w:t>
            </w:r>
          </w:p>
        </w:tc>
      </w:tr>
      <w:tr>
        <w:tc>
          <w:tcPr/>
          <w:p>
            <w:pPr>
              <w:pStyle w:val="Compact"/>
              <w:jc w:val="left"/>
            </w:pPr>
            <w:r>
              <w:rPr>
                <w:b/>
                <w:bCs/>
              </w:rPr>
              <w:t xml:space="preserve">Crating/packing</w:t>
            </w:r>
            <w:r>
              <w:t xml:space="preserve"> </w:t>
            </w:r>
            <w:r>
              <w:t xml:space="preserve">(Japan)</w:t>
            </w:r>
          </w:p>
        </w:tc>
        <w:tc>
          <w:tcPr/>
          <w:p>
            <w:pPr>
              <w:pStyle w:val="Compact"/>
              <w:jc w:val="left"/>
            </w:pPr>
            <w:r>
              <w:t xml:space="preserve">$300 ($100×3)</w:t>
            </w:r>
          </w:p>
        </w:tc>
        <w:tc>
          <w:tcPr/>
          <w:p>
            <w:pPr>
              <w:pStyle w:val="Compact"/>
              <w:jc w:val="left"/>
            </w:pPr>
            <w:r>
              <w:t xml:space="preserve">$600 ($200×3)</w:t>
            </w:r>
          </w:p>
        </w:tc>
        <w:tc>
          <w:tcPr/>
          <w:p>
            <w:pPr>
              <w:pStyle w:val="Compact"/>
              <w:jc w:val="left"/>
            </w:pPr>
            <w:r>
              <w:t xml:space="preserve">Open crate to closed wooden export crate</w:t>
            </w:r>
          </w:p>
        </w:tc>
      </w:tr>
      <w:tr>
        <w:tc>
          <w:tcPr/>
          <w:p>
            <w:pPr>
              <w:pStyle w:val="Compact"/>
              <w:jc w:val="left"/>
            </w:pPr>
            <w:r>
              <w:rPr>
                <w:b/>
                <w:bCs/>
              </w:rPr>
              <w:t xml:space="preserve">Domestic transport</w:t>
            </w:r>
            <w:r>
              <w:t xml:space="preserve"> </w:t>
            </w:r>
            <w:r>
              <w:t xml:space="preserve">(in Japan)</w:t>
            </w:r>
          </w:p>
        </w:tc>
        <w:tc>
          <w:tcPr/>
          <w:p>
            <w:pPr>
              <w:pStyle w:val="Compact"/>
              <w:jc w:val="left"/>
            </w:pPr>
            <w:r>
              <w:t xml:space="preserve">$100</w:t>
            </w:r>
          </w:p>
        </w:tc>
        <w:tc>
          <w:tcPr/>
          <w:p>
            <w:pPr>
              <w:pStyle w:val="Compact"/>
              <w:jc w:val="left"/>
            </w:pPr>
            <w:r>
              <w:t xml:space="preserve">$150</w:t>
            </w:r>
          </w:p>
        </w:tc>
        <w:tc>
          <w:tcPr/>
          <w:p>
            <w:pPr>
              <w:pStyle w:val="Compact"/>
              <w:jc w:val="left"/>
            </w:pPr>
            <w:r>
              <w:t xml:space="preserve">From seller to freight forwarder</w:t>
            </w:r>
          </w:p>
        </w:tc>
      </w:tr>
      <w:tr>
        <w:tc>
          <w:tcPr/>
          <w:p>
            <w:pPr>
              <w:pStyle w:val="Compact"/>
              <w:jc w:val="left"/>
            </w:pPr>
            <w:r>
              <w:rPr>
                <w:b/>
                <w:bCs/>
              </w:rPr>
              <w:t xml:space="preserve">Ocean freight</w:t>
            </w:r>
            <w:r>
              <w:t xml:space="preserve"> </w:t>
            </w:r>
            <w:r>
              <w:t xml:space="preserve">(LCL to Manila)</w:t>
            </w:r>
          </w:p>
        </w:tc>
        <w:tc>
          <w:tcPr/>
          <w:p>
            <w:pPr>
              <w:pStyle w:val="Compact"/>
              <w:jc w:val="left"/>
            </w:pPr>
            <w:r>
              <w:t xml:space="preserve">$100</w:t>
            </w:r>
          </w:p>
        </w:tc>
        <w:tc>
          <w:tcPr/>
          <w:p>
            <w:pPr>
              <w:pStyle w:val="Compact"/>
              <w:jc w:val="left"/>
            </w:pPr>
            <w:r>
              <w:t xml:space="preserve">$225</w:t>
            </w:r>
          </w:p>
        </w:tc>
        <w:tc>
          <w:tcPr/>
          <w:p>
            <w:pPr>
              <w:pStyle w:val="Compact"/>
              <w:jc w:val="left"/>
            </w:pPr>
            <w:r>
              <w:t xml:space="preserve">$20–$45/CBM; 5 CBM estimated</w:t>
            </w:r>
          </w:p>
        </w:tc>
      </w:tr>
      <w:tr>
        <w:tc>
          <w:tcPr/>
          <w:p>
            <w:pPr>
              <w:pStyle w:val="Compact"/>
              <w:jc w:val="left"/>
            </w:pPr>
            <w:r>
              <w:rPr>
                <w:b/>
                <w:bCs/>
              </w:rPr>
              <w:t xml:space="preserve">Origin/destination handling</w:t>
            </w:r>
          </w:p>
        </w:tc>
        <w:tc>
          <w:tcPr/>
          <w:p>
            <w:pPr>
              <w:pStyle w:val="Compact"/>
              <w:jc w:val="left"/>
            </w:pPr>
            <w:r>
              <w:t xml:space="preserve">$100</w:t>
            </w:r>
          </w:p>
        </w:tc>
        <w:tc>
          <w:tcPr/>
          <w:p>
            <w:pPr>
              <w:pStyle w:val="Compact"/>
              <w:jc w:val="left"/>
            </w:pPr>
            <w:r>
              <w:t xml:space="preserve">$200</w:t>
            </w:r>
          </w:p>
        </w:tc>
        <w:tc>
          <w:tcPr/>
          <w:p>
            <w:pPr>
              <w:pStyle w:val="Compact"/>
              <w:jc w:val="left"/>
            </w:pPr>
            <w:r>
              <w:t xml:space="preserve">CFS fees, documentation</w:t>
            </w:r>
          </w:p>
        </w:tc>
      </w:tr>
      <w:tr>
        <w:tc>
          <w:tcPr/>
          <w:p>
            <w:pPr>
              <w:pStyle w:val="Compact"/>
              <w:jc w:val="left"/>
            </w:pPr>
            <w:r>
              <w:rPr>
                <w:b/>
                <w:bCs/>
              </w:rPr>
              <w:t xml:space="preserve">Philippine customs duty</w:t>
            </w:r>
            <w:r>
              <w:t xml:space="preserve"> </w:t>
            </w:r>
            <w:r>
              <w:t xml:space="preserve">(2.5%)</w:t>
            </w:r>
          </w:p>
        </w:tc>
        <w:tc>
          <w:tcPr/>
          <w:p>
            <w:pPr>
              <w:pStyle w:val="Compact"/>
              <w:jc w:val="left"/>
            </w:pPr>
            <w:r>
              <w:t xml:space="preserve">$13</w:t>
            </w:r>
          </w:p>
        </w:tc>
        <w:tc>
          <w:tcPr/>
          <w:p>
            <w:pPr>
              <w:pStyle w:val="Compact"/>
              <w:jc w:val="left"/>
            </w:pPr>
            <w:r>
              <w:t xml:space="preserve">$38</w:t>
            </w:r>
          </w:p>
        </w:tc>
        <w:tc>
          <w:tcPr/>
          <w:p>
            <w:pPr>
              <w:pStyle w:val="Compact"/>
              <w:jc w:val="left"/>
            </w:pPr>
            <w:r>
              <w:t xml:space="preserve">HS Code 8479.50.00</w:t>
            </w:r>
          </w:p>
        </w:tc>
      </w:tr>
      <w:tr>
        <w:tc>
          <w:tcPr/>
          <w:p>
            <w:pPr>
              <w:pStyle w:val="Compact"/>
              <w:jc w:val="left"/>
            </w:pPr>
            <w:r>
              <w:rPr>
                <w:b/>
                <w:bCs/>
              </w:rPr>
              <w:t xml:space="preserve">Philippine VAT</w:t>
            </w:r>
            <w:r>
              <w:t xml:space="preserve"> </w:t>
            </w:r>
            <w:r>
              <w:t xml:space="preserve">(12%)</w:t>
            </w:r>
          </w:p>
        </w:tc>
        <w:tc>
          <w:tcPr/>
          <w:p>
            <w:pPr>
              <w:pStyle w:val="Compact"/>
              <w:jc w:val="left"/>
            </w:pPr>
            <w:r>
              <w:t xml:space="preserve">$62</w:t>
            </w:r>
          </w:p>
        </w:tc>
        <w:tc>
          <w:tcPr/>
          <w:p>
            <w:pPr>
              <w:pStyle w:val="Compact"/>
              <w:jc w:val="left"/>
            </w:pPr>
            <w:r>
              <w:t xml:space="preserve">$185</w:t>
            </w:r>
          </w:p>
        </w:tc>
        <w:tc>
          <w:tcPr/>
          <w:p>
            <w:pPr>
              <w:pStyle w:val="Compact"/>
              <w:jc w:val="left"/>
            </w:pPr>
            <w:r>
              <w:t xml:space="preserve">On CIF value + duty</w:t>
            </w:r>
          </w:p>
        </w:tc>
      </w:tr>
      <w:tr>
        <w:tc>
          <w:tcPr/>
          <w:p>
            <w:pPr>
              <w:pStyle w:val="Compact"/>
              <w:jc w:val="left"/>
            </w:pPr>
            <w:r>
              <w:rPr>
                <w:b/>
                <w:bCs/>
              </w:rPr>
              <w:t xml:space="preserve">Customs brokerage</w:t>
            </w:r>
          </w:p>
        </w:tc>
        <w:tc>
          <w:tcPr/>
          <w:p>
            <w:pPr>
              <w:pStyle w:val="Compact"/>
              <w:jc w:val="left"/>
            </w:pPr>
            <w:r>
              <w:t xml:space="preserve">$100</w:t>
            </w:r>
          </w:p>
        </w:tc>
        <w:tc>
          <w:tcPr/>
          <w:p>
            <w:pPr>
              <w:pStyle w:val="Compact"/>
              <w:jc w:val="left"/>
            </w:pPr>
            <w:r>
              <w:t xml:space="preserve">$150</w:t>
            </w:r>
          </w:p>
        </w:tc>
        <w:tc>
          <w:tcPr/>
          <w:p>
            <w:pPr>
              <w:pStyle w:val="Compact"/>
              <w:jc w:val="left"/>
            </w:pPr>
            <w:r>
              <w:t xml:space="preserve">Licensed broker fee</w:t>
            </w:r>
          </w:p>
        </w:tc>
      </w:tr>
      <w:tr>
        <w:tc>
          <w:tcPr/>
          <w:p>
            <w:pPr>
              <w:pStyle w:val="Compact"/>
              <w:jc w:val="left"/>
            </w:pPr>
            <w:r>
              <w:rPr>
                <w:b/>
                <w:bCs/>
              </w:rPr>
              <w:t xml:space="preserve">Port handling/storage</w:t>
            </w:r>
          </w:p>
        </w:tc>
        <w:tc>
          <w:tcPr/>
          <w:p>
            <w:pPr>
              <w:pStyle w:val="Compact"/>
              <w:jc w:val="left"/>
            </w:pPr>
            <w:r>
              <w:t xml:space="preserve">$50</w:t>
            </w:r>
          </w:p>
        </w:tc>
        <w:tc>
          <w:tcPr/>
          <w:p>
            <w:pPr>
              <w:pStyle w:val="Compact"/>
              <w:jc w:val="left"/>
            </w:pPr>
            <w:r>
              <w:t xml:space="preserve">$100</w:t>
            </w:r>
          </w:p>
        </w:tc>
        <w:tc>
          <w:tcPr/>
          <w:p>
            <w:pPr>
              <w:pStyle w:val="Compact"/>
              <w:jc w:val="left"/>
            </w:pPr>
            <w:r>
              <w:t xml:space="preserve">Manila port charges</w:t>
            </w:r>
          </w:p>
        </w:tc>
      </w:tr>
      <w:tr>
        <w:tc>
          <w:tcPr/>
          <w:p>
            <w:pPr>
              <w:pStyle w:val="Compact"/>
              <w:jc w:val="left"/>
            </w:pPr>
            <w:r>
              <w:rPr>
                <w:b/>
                <w:bCs/>
              </w:rPr>
              <w:t xml:space="preserve">TOTAL LANDED COST</w:t>
            </w:r>
          </w:p>
        </w:tc>
        <w:tc>
          <w:tcPr/>
          <w:p>
            <w:pPr>
              <w:pStyle w:val="Compact"/>
              <w:jc w:val="left"/>
            </w:pPr>
            <w:r>
              <w:rPr>
                <w:b/>
                <w:bCs/>
              </w:rPr>
              <w:t xml:space="preserve">$1,245</w:t>
            </w:r>
          </w:p>
        </w:tc>
        <w:tc>
          <w:tcPr/>
          <w:p>
            <w:pPr>
              <w:pStyle w:val="Compact"/>
              <w:jc w:val="left"/>
            </w:pPr>
            <w:r>
              <w:rPr>
                <w:b/>
                <w:bCs/>
              </w:rPr>
              <w:t xml:space="preserve">$3,148</w:t>
            </w:r>
          </w:p>
        </w:tc>
        <w:tc>
          <w:tcPr/>
          <w:p>
            <w:pPr>
              <w:pStyle w:val="Compact"/>
            </w:pPr>
          </w:p>
        </w:tc>
      </w:tr>
      <w:tr>
        <w:tc>
          <w:tcPr/>
          <w:p>
            <w:pPr>
              <w:pStyle w:val="Compact"/>
              <w:jc w:val="left"/>
            </w:pPr>
            <w:r>
              <w:rPr>
                <w:b/>
                <w:bCs/>
              </w:rPr>
              <w:t xml:space="preserve">Cost per robot</w:t>
            </w:r>
          </w:p>
        </w:tc>
        <w:tc>
          <w:tcPr/>
          <w:p>
            <w:pPr>
              <w:pStyle w:val="Compact"/>
              <w:jc w:val="left"/>
            </w:pPr>
            <w:r>
              <w:rPr>
                <w:b/>
                <w:bCs/>
              </w:rPr>
              <w:t xml:space="preserve">$415</w:t>
            </w:r>
          </w:p>
        </w:tc>
        <w:tc>
          <w:tcPr/>
          <w:p>
            <w:pPr>
              <w:pStyle w:val="Compact"/>
              <w:jc w:val="left"/>
            </w:pPr>
            <w:r>
              <w:rPr>
                <w:b/>
                <w:bCs/>
              </w:rPr>
              <w:t xml:space="preserve">$1,049</w:t>
            </w:r>
          </w:p>
        </w:tc>
        <w:tc>
          <w:tcPr/>
          <w:p>
            <w:pPr>
              <w:pStyle w:val="Compact"/>
              <w:jc w:val="left"/>
            </w:pPr>
            <w:r>
              <w:rPr>
                <w:b/>
                <w:bCs/>
              </w:rPr>
              <w:t xml:space="preserve">~₱24,200</w:t>
            </w:r>
            <w:r>
              <w:t xml:space="preserve"> </w:t>
            </w:r>
            <w:r>
              <w:t xml:space="preserve">/</w:t>
            </w:r>
            <w:r>
              <w:t xml:space="preserve"> </w:t>
            </w:r>
            <w:r>
              <w:rPr>
                <w:b/>
                <w:bCs/>
              </w:rPr>
              <w:t xml:space="preserve">~₱61,200</w:t>
            </w:r>
          </w:p>
        </w:tc>
      </w:tr>
    </w:tbl>
    <w:p>
      <w:pPr>
        <w:pStyle w:val="a0"/>
      </w:pPr>
      <w:r>
        <w:rPr>
          <w:b/>
          <w:bCs/>
        </w:rPr>
        <w:t xml:space="preserve">The ~₱20,000 per robot target is achievable</w:t>
      </w:r>
      <w:r>
        <w:t xml:space="preserve"> </w:t>
      </w:r>
      <w:r>
        <w:t xml:space="preserve">at the budget end if CGG sources arms at the lower end of the auction price range (¥20,000–¥35,000 each) and minimizes crating costs. The mid-range estimate of ~₱61,200 per robot is more realistic for arms in usable mechanical condition.</w:t>
      </w:r>
    </w:p>
    <w:p>
      <w:pPr>
        <w:pStyle w:val="a0"/>
      </w:pPr>
      <w:r>
        <w:rPr>
          <w:b/>
          <w:bCs/>
        </w:rPr>
        <w:t xml:space="preserve">Freight forwarder recommendation:</w:t>
      </w:r>
      <w:r>
        <w:t xml:space="preserve"> </w:t>
      </w:r>
      <w:r>
        <w:rPr>
          <w:b/>
          <w:bCs/>
        </w:rPr>
        <w:t xml:space="preserve">Arigato Corporation</w:t>
      </w:r>
      <w:r>
        <w:t xml:space="preserve"> </w:t>
      </w:r>
      <w:r>
        <w:t xml:space="preserve">(WhatsApp:</w:t>
      </w:r>
      <w:r>
        <w:t xml:space="preserve"> </w:t>
      </w:r>
      <w:r>
        <w:rPr>
          <w:b/>
          <w:bCs/>
        </w:rPr>
        <w:t xml:space="preserve">+81 80 4812 6989</w:t>
      </w:r>
      <w:r>
        <w:t xml:space="preserve">, contact: Sujay, Sales Manager) already exports used machinery to the Philippines and understands the Pre-Shipment Inspection (PSI) requirement. For a more specialized option,</w:t>
      </w:r>
      <w:r>
        <w:t xml:space="preserve"> </w:t>
      </w:r>
      <w:r>
        <w:rPr>
          <w:b/>
          <w:bCs/>
        </w:rPr>
        <w:t xml:space="preserve">Dimerco</w:t>
      </w:r>
      <w:r>
        <w:t xml:space="preserve"> </w:t>
      </w:r>
      <w:r>
        <w:t xml:space="preserve">(dimerco.com) has Philippine offices in Manila, Cebu, and Subic with heavy machinery expertise.</w:t>
      </w:r>
    </w:p>
    <w:bookmarkEnd w:id="27"/>
    <w:bookmarkEnd w:id="28"/>
    <w:bookmarkStart w:id="32" w:name="Xf4af10b9734715d8fcdc1737cbd44163723d463"/>
    <w:p>
      <w:pPr>
        <w:pStyle w:val="2"/>
      </w:pPr>
      <w:r>
        <w:t xml:space="preserve">3. Reverse-Engineering and Rebuilding the Brain</w:t>
      </w:r>
    </w:p>
    <w:bookmarkStart w:id="29" w:name="Xbfc86301db36ecf5e2136b82d9d4dc179237ffd"/>
    <w:p>
      <w:pPr>
        <w:pStyle w:val="3"/>
      </w:pPr>
      <w:r>
        <w:t xml:space="preserve">3.1 The Controller Architecture: Learning from ExcessiveMotion</w:t>
      </w:r>
    </w:p>
    <w:p>
      <w:pPr>
        <w:pStyle w:val="FirstParagraph"/>
      </w:pPr>
      <w:r>
        <w:t xml:space="preserve">The open-source robotics community has produced a reference design that maps to what CGG needs. The</w:t>
      </w:r>
      <w:r>
        <w:t xml:space="preserve"> </w:t>
      </w:r>
      <w:r>
        <w:rPr>
          <w:b/>
          <w:bCs/>
        </w:rPr>
        <w:t xml:space="preserve">ExcessiveMotion controller</w:t>
      </w:r>
      <w:r>
        <w:t xml:space="preserve">, developed by the creator of the video that inspired this project, uses a</w:t>
      </w:r>
      <w:r>
        <w:t xml:space="preserve"> </w:t>
      </w:r>
      <w:r>
        <w:rPr>
          <w:b/>
          <w:bCs/>
        </w:rPr>
        <w:t xml:space="preserve">Xilinx Zynq-7020 SoC</w:t>
      </w:r>
      <w:r>
        <w:t xml:space="preserve"> </w:t>
      </w:r>
      <w:r>
        <w:t xml:space="preserve">— a chip combining a</w:t>
      </w:r>
      <w:r>
        <w:t xml:space="preserve"> </w:t>
      </w:r>
      <w:r>
        <w:rPr>
          <w:b/>
          <w:bCs/>
        </w:rPr>
        <w:t xml:space="preserve">dual-core ARM Cortex-A9</w:t>
      </w:r>
      <w:r>
        <w:t xml:space="preserve"> </w:t>
      </w:r>
      <w:r>
        <w:t xml:space="preserve">(running real-time Linux) with a</w:t>
      </w:r>
      <w:r>
        <w:t xml:space="preserve"> </w:t>
      </w:r>
      <w:r>
        <w:rPr>
          <w:b/>
          <w:bCs/>
        </w:rPr>
        <w:t xml:space="preserve">Xilinx 7-series FPGA</w:t>
      </w:r>
      <w:r>
        <w:t xml:space="preserve"> </w:t>
      </w:r>
      <w:r>
        <w:t xml:space="preserve">on the same die. Hard real-time tasks (encoder reading, servo drive communication, safety interlocks) run in the FPGA at 100 MHz, while higher-level control runs on the ARM cores at 1 kHz.</w:t>
      </w:r>
    </w:p>
    <w:p>
      <w:pPr>
        <w:pStyle w:val="a0"/>
      </w:pPr>
      <w:r>
        <w:t xml:space="preserve">This claim was</w:t>
      </w:r>
      <w:r>
        <w:t xml:space="preserve"> </w:t>
      </w:r>
      <w:r>
        <w:rPr>
          <w:b/>
          <w:bCs/>
        </w:rPr>
        <w:t xml:space="preserve">independently verified</w:t>
      </w:r>
      <w:r>
        <w:t xml:space="preserve"> </w:t>
      </w:r>
      <w:r>
        <w:t xml:space="preserve">by checking the ExcessiveMotion GitHub repositories (github.com/ExcessiveMotion) and the creator’s YouTube documentation. The Zynq-7020 architecture, the 1 kHz software update rate, and the 100 MHz FPGA clock are all confirmed in the project’s public documentation.</w:t>
      </w:r>
    </w:p>
    <w:tbl>
      <w:tblPr>
        <w:tblStyle w:val="Table"/>
        <w:tblW w:type="pct" w:w="5000"/>
        <w:jc w:val="left"/>
        <w:tblLayout w:type="fixed"/>
        <w:tblLook w:firstRow="1" w:lastRow="0" w:firstColumn="0" w:lastColumn="0" w:noHBand="0" w:noVBand="0" w:val="0020"/>
      </w:tblPr>
      <w:tblGrid>
        <w:gridCol w:w="1405"/>
        <w:gridCol w:w="2171"/>
        <w:gridCol w:w="2427"/>
        <w:gridCol w:w="1916"/>
      </w:tblGrid>
      <w:tr>
        <w:trPr>
          <w:tblHeader w:val="on"/>
        </w:trPr>
        <w:tc>
          <w:tcPr/>
          <w:p>
            <w:pPr>
              <w:pStyle w:val="Compact"/>
              <w:jc w:val="left"/>
            </w:pPr>
            <w:r>
              <w:t xml:space="preserve">Component</w:t>
            </w:r>
          </w:p>
        </w:tc>
        <w:tc>
          <w:tcPr/>
          <w:p>
            <w:pPr>
              <w:pStyle w:val="Compact"/>
              <w:jc w:val="left"/>
            </w:pPr>
            <w:r>
              <w:t xml:space="preserve">Reference Design</w:t>
            </w:r>
          </w:p>
        </w:tc>
        <w:tc>
          <w:tcPr/>
          <w:p>
            <w:pPr>
              <w:pStyle w:val="Compact"/>
              <w:jc w:val="left"/>
            </w:pPr>
            <w:r>
              <w:t xml:space="preserve">CGG Initial Phase</w:t>
            </w:r>
          </w:p>
        </w:tc>
        <w:tc>
          <w:tcPr/>
          <w:p>
            <w:pPr>
              <w:pStyle w:val="Compact"/>
              <w:jc w:val="left"/>
            </w:pPr>
            <w:r>
              <w:t xml:space="preserve">Cost Estimate</w:t>
            </w:r>
          </w:p>
        </w:tc>
      </w:tr>
      <w:tr>
        <w:tc>
          <w:tcPr/>
          <w:p>
            <w:pPr>
              <w:pStyle w:val="Compact"/>
              <w:jc w:val="left"/>
            </w:pPr>
            <w:r>
              <w:rPr>
                <w:b/>
                <w:bCs/>
              </w:rPr>
              <w:t xml:space="preserve">Core processor</w:t>
            </w:r>
          </w:p>
        </w:tc>
        <w:tc>
          <w:tcPr/>
          <w:p>
            <w:pPr>
              <w:pStyle w:val="Compact"/>
              <w:jc w:val="left"/>
            </w:pPr>
            <w:r>
              <w:t xml:space="preserve">Custom Zynq-7020 board</w:t>
            </w:r>
          </w:p>
        </w:tc>
        <w:tc>
          <w:tcPr/>
          <w:p>
            <w:pPr>
              <w:pStyle w:val="Compact"/>
              <w:jc w:val="left"/>
            </w:pPr>
            <w:r>
              <w:t xml:space="preserve">Digilent Zybo Z7-20 ($299) or Avnet MiniZed</w:t>
            </w:r>
          </w:p>
        </w:tc>
        <w:tc>
          <w:tcPr/>
          <w:p>
            <w:pPr>
              <w:pStyle w:val="Compact"/>
              <w:jc w:val="left"/>
            </w:pPr>
            <w:r>
              <w:t xml:space="preserve">$200–$300</w:t>
            </w:r>
          </w:p>
        </w:tc>
      </w:tr>
      <w:tr>
        <w:tc>
          <w:tcPr/>
          <w:p>
            <w:pPr>
              <w:pStyle w:val="Compact"/>
              <w:jc w:val="left"/>
            </w:pPr>
            <w:r>
              <w:rPr>
                <w:b/>
                <w:bCs/>
              </w:rPr>
              <w:t xml:space="preserve">Expansion interface</w:t>
            </w:r>
          </w:p>
        </w:tc>
        <w:tc>
          <w:tcPr/>
          <w:p>
            <w:pPr>
              <w:pStyle w:val="Compact"/>
              <w:jc w:val="left"/>
            </w:pPr>
            <w:r>
              <w:t xml:space="preserve">Custom 4-slot backplane</w:t>
            </w:r>
          </w:p>
        </w:tc>
        <w:tc>
          <w:tcPr/>
          <w:p>
            <w:pPr>
              <w:pStyle w:val="Compact"/>
              <w:jc w:val="left"/>
            </w:pPr>
            <w:r>
              <w:t xml:space="preserve">GPIO breakout + breadboard/prototype</w:t>
            </w:r>
          </w:p>
        </w:tc>
        <w:tc>
          <w:tcPr/>
          <w:p>
            <w:pPr>
              <w:pStyle w:val="Compact"/>
              <w:jc w:val="left"/>
            </w:pPr>
            <w:r>
              <w:t xml:space="preserve">$50–$100</w:t>
            </w:r>
          </w:p>
        </w:tc>
      </w:tr>
      <w:tr>
        <w:tc>
          <w:tcPr/>
          <w:p>
            <w:pPr>
              <w:pStyle w:val="Compact"/>
              <w:jc w:val="left"/>
            </w:pPr>
            <w:r>
              <w:rPr>
                <w:b/>
                <w:bCs/>
              </w:rPr>
              <w:t xml:space="preserve">Serial communication</w:t>
            </w:r>
          </w:p>
        </w:tc>
        <w:tc>
          <w:tcPr/>
          <w:p>
            <w:pPr>
              <w:pStyle w:val="Compact"/>
              <w:jc w:val="left"/>
            </w:pPr>
            <w:r>
              <w:t xml:space="preserve">Custom RS-485/RS-422 cards</w:t>
            </w:r>
          </w:p>
        </w:tc>
        <w:tc>
          <w:tcPr/>
          <w:p>
            <w:pPr>
              <w:pStyle w:val="Compact"/>
              <w:jc w:val="left"/>
            </w:pPr>
            <w:r>
              <w:t xml:space="preserve">USB-to-RS485 adapters + level shifters</w:t>
            </w:r>
          </w:p>
        </w:tc>
        <w:tc>
          <w:tcPr/>
          <w:p>
            <w:pPr>
              <w:pStyle w:val="Compact"/>
              <w:jc w:val="left"/>
            </w:pPr>
            <w:r>
              <w:t xml:space="preserve">$30–$60</w:t>
            </w:r>
          </w:p>
        </w:tc>
      </w:tr>
      <w:tr>
        <w:tc>
          <w:tcPr/>
          <w:p>
            <w:pPr>
              <w:pStyle w:val="Compact"/>
              <w:jc w:val="left"/>
            </w:pPr>
            <w:r>
              <w:rPr>
                <w:b/>
                <w:bCs/>
              </w:rPr>
              <w:t xml:space="preserve">Power supply</w:t>
            </w:r>
          </w:p>
        </w:tc>
        <w:tc>
          <w:tcPr/>
          <w:p>
            <w:pPr>
              <w:pStyle w:val="Compact"/>
              <w:jc w:val="left"/>
            </w:pPr>
            <w:r>
              <w:t xml:space="preserve">Custom PFC drive</w:t>
            </w:r>
          </w:p>
        </w:tc>
        <w:tc>
          <w:tcPr/>
          <w:p>
            <w:pPr>
              <w:pStyle w:val="Compact"/>
              <w:jc w:val="left"/>
            </w:pPr>
            <w:r>
              <w:t xml:space="preserve">Bench power supplies (36V–100V variable)</w:t>
            </w:r>
          </w:p>
        </w:tc>
        <w:tc>
          <w:tcPr/>
          <w:p>
            <w:pPr>
              <w:pStyle w:val="Compact"/>
              <w:jc w:val="left"/>
            </w:pPr>
            <w:r>
              <w:t xml:space="preserve">$200–$400</w:t>
            </w:r>
          </w:p>
        </w:tc>
      </w:tr>
      <w:tr>
        <w:tc>
          <w:tcPr/>
          <w:p>
            <w:pPr>
              <w:pStyle w:val="Compact"/>
              <w:jc w:val="left"/>
            </w:pPr>
            <w:r>
              <w:rPr>
                <w:b/>
                <w:bCs/>
              </w:rPr>
              <w:t xml:space="preserve">Safety system</w:t>
            </w:r>
          </w:p>
        </w:tc>
        <w:tc>
          <w:tcPr/>
          <w:p>
            <w:pPr>
              <w:pStyle w:val="Compact"/>
              <w:jc w:val="left"/>
            </w:pPr>
            <w:r>
              <w:t xml:space="preserve">Custom e-stop board</w:t>
            </w:r>
          </w:p>
        </w:tc>
        <w:tc>
          <w:tcPr/>
          <w:p>
            <w:pPr>
              <w:pStyle w:val="Compact"/>
              <w:jc w:val="left"/>
            </w:pPr>
            <w:r>
              <w:t xml:space="preserve">Relay-based interlock + emergency stop buttons</w:t>
            </w:r>
          </w:p>
        </w:tc>
        <w:tc>
          <w:tcPr/>
          <w:p>
            <w:pPr>
              <w:pStyle w:val="Compact"/>
              <w:jc w:val="left"/>
            </w:pPr>
            <w:r>
              <w:t xml:space="preserve">$100–$200</w:t>
            </w:r>
          </w:p>
        </w:tc>
      </w:tr>
    </w:tbl>
    <w:p>
      <w:pPr>
        <w:pStyle w:val="a0"/>
      </w:pPr>
      <w:r>
        <w:t xml:space="preserve">The</w:t>
      </w:r>
      <w:r>
        <w:t xml:space="preserve"> </w:t>
      </w:r>
      <w:r>
        <w:rPr>
          <w:b/>
          <w:bCs/>
        </w:rPr>
        <w:t xml:space="preserve">Zybo Z7-20</w:t>
      </w:r>
      <w:r>
        <w:t xml:space="preserve"> </w:t>
      </w:r>
      <w:r>
        <w:t xml:space="preserve">($299 from Digilent) is the recommended starting point — full Zynq-7020 SoC with HDMI, USB, Ethernet, GPIO, and PMOD connectors for rapid prototyping without custom PCB design.</w:t>
      </w:r>
    </w:p>
    <w:bookmarkEnd w:id="29"/>
    <w:bookmarkStart w:id="30" w:name="servo-drive-development-stmbl-and-odrive"/>
    <w:p>
      <w:pPr>
        <w:pStyle w:val="3"/>
      </w:pPr>
      <w:r>
        <w:t xml:space="preserve">3.2 Servo Drive Development: STMBL and ODrive</w:t>
      </w:r>
    </w:p>
    <w:p>
      <w:pPr>
        <w:pStyle w:val="FirstParagraph"/>
      </w:pPr>
      <w:r>
        <w:t xml:space="preserve">The servo drives that power each robot joint are where the real power electronics engineering happens. CGG has two mature open-source platforms to choose from:</w:t>
      </w:r>
    </w:p>
    <w:tbl>
      <w:tblPr>
        <w:tblStyle w:val="Table"/>
        <w:tblW w:type="pct" w:w="5000"/>
        <w:jc w:val="left"/>
        <w:tblLayout w:type="fixed"/>
        <w:tblLook w:firstRow="1" w:lastRow="0" w:firstColumn="0" w:lastColumn="0" w:noHBand="0" w:noVBand="0" w:val="0020"/>
      </w:tblPr>
      <w:tblGrid>
        <w:gridCol w:w="1342"/>
        <w:gridCol w:w="1745"/>
        <w:gridCol w:w="1476"/>
        <w:gridCol w:w="1342"/>
        <w:gridCol w:w="2013"/>
      </w:tblGrid>
      <w:tr>
        <w:trPr>
          <w:tblHeader w:val="on"/>
        </w:trPr>
        <w:tc>
          <w:tcPr/>
          <w:p>
            <w:pPr>
              <w:pStyle w:val="Compact"/>
              <w:jc w:val="left"/>
            </w:pPr>
            <w:r>
              <w:t xml:space="preserve">Platform</w:t>
            </w:r>
          </w:p>
        </w:tc>
        <w:tc>
          <w:tcPr/>
          <w:p>
            <w:pPr>
              <w:pStyle w:val="Compact"/>
              <w:jc w:val="left"/>
            </w:pPr>
            <w:r>
              <w:t xml:space="preserve">Max Voltage</w:t>
            </w:r>
          </w:p>
        </w:tc>
        <w:tc>
          <w:tcPr/>
          <w:p>
            <w:pPr>
              <w:pStyle w:val="Compact"/>
              <w:jc w:val="left"/>
            </w:pPr>
            <w:r>
              <w:t xml:space="preserve">Max Power</w:t>
            </w:r>
          </w:p>
        </w:tc>
        <w:tc>
          <w:tcPr/>
          <w:p>
            <w:pPr>
              <w:pStyle w:val="Compact"/>
              <w:jc w:val="left"/>
            </w:pPr>
            <w:r>
              <w:t xml:space="preserve">Best For</w:t>
            </w:r>
          </w:p>
        </w:tc>
        <w:tc>
          <w:tcPr/>
          <w:p>
            <w:pPr>
              <w:pStyle w:val="Compact"/>
              <w:jc w:val="left"/>
            </w:pPr>
            <w:r>
              <w:t xml:space="preserve">Cost per Axis</w:t>
            </w:r>
          </w:p>
        </w:tc>
      </w:tr>
      <w:tr>
        <w:tc>
          <w:tcPr/>
          <w:p>
            <w:pPr>
              <w:pStyle w:val="Compact"/>
              <w:jc w:val="left"/>
            </w:pPr>
            <w:r>
              <w:rPr>
                <w:b/>
                <w:bCs/>
              </w:rPr>
              <w:t xml:space="preserve">STMBL</w:t>
            </w:r>
          </w:p>
        </w:tc>
        <w:tc>
          <w:tcPr/>
          <w:p>
            <w:pPr>
              <w:pStyle w:val="Compact"/>
              <w:jc w:val="left"/>
            </w:pPr>
            <w:r>
              <w:t xml:space="preserve">320V DC</w:t>
            </w:r>
          </w:p>
        </w:tc>
        <w:tc>
          <w:tcPr/>
          <w:p>
            <w:pPr>
              <w:pStyle w:val="Compact"/>
              <w:jc w:val="left"/>
            </w:pPr>
            <w:r>
              <w:t xml:space="preserve">2 kW</w:t>
            </w:r>
          </w:p>
        </w:tc>
        <w:tc>
          <w:tcPr/>
          <w:p>
            <w:pPr>
              <w:pStyle w:val="Compact"/>
              <w:jc w:val="left"/>
            </w:pPr>
            <w:r>
              <w:t xml:space="preserve">Industrial AC servo motors</w:t>
            </w:r>
          </w:p>
        </w:tc>
        <w:tc>
          <w:tcPr/>
          <w:p>
            <w:pPr>
              <w:pStyle w:val="Compact"/>
              <w:jc w:val="left"/>
            </w:pPr>
            <w:r>
              <w:t xml:space="preserve">$50–$150 (DIY)</w:t>
            </w:r>
          </w:p>
        </w:tc>
      </w:tr>
      <w:tr>
        <w:tc>
          <w:tcPr/>
          <w:p>
            <w:pPr>
              <w:pStyle w:val="Compact"/>
              <w:jc w:val="left"/>
            </w:pPr>
            <w:r>
              <w:rPr>
                <w:b/>
                <w:bCs/>
              </w:rPr>
              <w:t xml:space="preserve">ODrive S1</w:t>
            </w:r>
          </w:p>
        </w:tc>
        <w:tc>
          <w:tcPr/>
          <w:p>
            <w:pPr>
              <w:pStyle w:val="Compact"/>
              <w:jc w:val="left"/>
            </w:pPr>
            <w:r>
              <w:t xml:space="preserve">50V DC</w:t>
            </w:r>
          </w:p>
        </w:tc>
        <w:tc>
          <w:tcPr/>
          <w:p>
            <w:pPr>
              <w:pStyle w:val="Compact"/>
              <w:jc w:val="left"/>
            </w:pPr>
            <w:r>
              <w:t xml:space="preserve">1.6 kW</w:t>
            </w:r>
          </w:p>
        </w:tc>
        <w:tc>
          <w:tcPr/>
          <w:p>
            <w:pPr>
              <w:pStyle w:val="Compact"/>
              <w:jc w:val="left"/>
            </w:pPr>
            <w:r>
              <w:t xml:space="preserve">BLDC/PMSM motors</w:t>
            </w:r>
          </w:p>
        </w:tc>
        <w:tc>
          <w:tcPr/>
          <w:p>
            <w:pPr>
              <w:pStyle w:val="Compact"/>
              <w:jc w:val="left"/>
            </w:pPr>
            <w:r>
              <w:t xml:space="preserve">$140 (pre-built)</w:t>
            </w:r>
          </w:p>
        </w:tc>
      </w:tr>
      <w:tr>
        <w:tc>
          <w:tcPr/>
          <w:p>
            <w:pPr>
              <w:pStyle w:val="Compact"/>
              <w:jc w:val="left"/>
            </w:pPr>
            <w:r>
              <w:rPr>
                <w:b/>
                <w:bCs/>
              </w:rPr>
              <w:t xml:space="preserve">ODrive Pro</w:t>
            </w:r>
          </w:p>
        </w:tc>
        <w:tc>
          <w:tcPr/>
          <w:p>
            <w:pPr>
              <w:pStyle w:val="Compact"/>
              <w:jc w:val="left"/>
            </w:pPr>
            <w:r>
              <w:t xml:space="preserve">58V DC</w:t>
            </w:r>
          </w:p>
        </w:tc>
        <w:tc>
          <w:tcPr/>
          <w:p>
            <w:pPr>
              <w:pStyle w:val="Compact"/>
              <w:jc w:val="left"/>
            </w:pPr>
            <w:r>
              <w:t xml:space="preserve">3 kW (5kW peak)</w:t>
            </w:r>
          </w:p>
        </w:tc>
        <w:tc>
          <w:tcPr/>
          <w:p>
            <w:pPr>
              <w:pStyle w:val="Compact"/>
              <w:jc w:val="left"/>
            </w:pPr>
            <w:r>
              <w:t xml:space="preserve">Medium robot joints, high performance</w:t>
            </w:r>
          </w:p>
        </w:tc>
        <w:tc>
          <w:tcPr/>
          <w:p>
            <w:pPr>
              <w:pStyle w:val="Compact"/>
              <w:jc w:val="left"/>
            </w:pPr>
            <w:r>
              <w:t xml:space="preserve">$299 (pre-built)</w:t>
            </w:r>
          </w:p>
        </w:tc>
      </w:tr>
      <w:tr>
        <w:tc>
          <w:tcPr/>
          <w:p>
            <w:pPr>
              <w:pStyle w:val="Compact"/>
              <w:jc w:val="left"/>
            </w:pPr>
            <w:r>
              <w:rPr>
                <w:b/>
                <w:bCs/>
              </w:rPr>
              <w:t xml:space="preserve">SimpleFOC + ESP32</w:t>
            </w:r>
          </w:p>
        </w:tc>
        <w:tc>
          <w:tcPr/>
          <w:p>
            <w:pPr>
              <w:pStyle w:val="Compact"/>
              <w:jc w:val="left"/>
            </w:pPr>
            <w:r>
              <w:t xml:space="preserve">24V DC</w:t>
            </w:r>
          </w:p>
        </w:tc>
        <w:tc>
          <w:tcPr/>
          <w:p>
            <w:pPr>
              <w:pStyle w:val="Compact"/>
              <w:jc w:val="left"/>
            </w:pPr>
            <w:r>
              <w:t xml:space="preserve">200W</w:t>
            </w:r>
          </w:p>
        </w:tc>
        <w:tc>
          <w:tcPr/>
          <w:p>
            <w:pPr>
              <w:pStyle w:val="Compact"/>
              <w:jc w:val="left"/>
            </w:pPr>
            <w:r>
              <w:t xml:space="preserve">Small motors, learning fundamentals</w:t>
            </w:r>
          </w:p>
        </w:tc>
        <w:tc>
          <w:tcPr/>
          <w:p>
            <w:pPr>
              <w:pStyle w:val="Compact"/>
              <w:jc w:val="left"/>
            </w:pPr>
            <w:r>
              <w:t xml:space="preserve">$20–$50 (DIY)</w:t>
            </w:r>
          </w:p>
        </w:tc>
      </w:tr>
    </w:tbl>
    <w:p>
      <w:pPr>
        <w:pStyle w:val="a0"/>
      </w:pPr>
      <w:r>
        <w:rPr>
          <w:b/>
          <w:bCs/>
        </w:rPr>
        <w:t xml:space="preserve">STMBL</w:t>
      </w:r>
      <w:r>
        <w:t xml:space="preserve"> </w:t>
      </w:r>
      <w:r>
        <w:t xml:space="preserve">is the optimal choice for CGG’s industrial robot retrofit project. It supports industrial AC and DC servo motors up to 320V and 2kW, compatible with the servo motors found in small to medium industrial robots. The project was created by</w:t>
      </w:r>
      <w:r>
        <w:t xml:space="preserve"> </w:t>
      </w:r>
      <w:r>
        <w:rPr>
          <w:b/>
          <w:bCs/>
        </w:rPr>
        <w:t xml:space="preserve">Rene Hopf</w:t>
      </w:r>
      <w:r>
        <w:t xml:space="preserve"> </w:t>
      </w:r>
      <w:r>
        <w:t xml:space="preserve">and is hosted on GitHub with full hardware schematics and firmware source code under GPLv3. A fork by</w:t>
      </w:r>
      <w:r>
        <w:t xml:space="preserve"> </w:t>
      </w:r>
      <w:r>
        <w:rPr>
          <w:b/>
          <w:bCs/>
        </w:rPr>
        <w:t xml:space="preserve">freakontrol</w:t>
      </w:r>
      <w:r>
        <w:t xml:space="preserve"> </w:t>
      </w:r>
      <w:r>
        <w:t xml:space="preserve">includes significant improvements: a more powerful</w:t>
      </w:r>
      <w:r>
        <w:t xml:space="preserve"> </w:t>
      </w:r>
      <w:r>
        <w:rPr>
          <w:b/>
          <w:bCs/>
        </w:rPr>
        <w:t xml:space="preserve">Infineon IKCM30F60GD H-bridge</w:t>
      </w:r>
      <w:r>
        <w:t xml:space="preserve"> </w:t>
      </w:r>
      <w:r>
        <w:t xml:space="preserve">(60A peak vs. 30A original), upgraded power connectors, and optimized heat dissipation.</w:t>
      </w:r>
    </w:p>
    <w:p>
      <w:pPr>
        <w:pStyle w:val="a0"/>
      </w:pPr>
      <w:r>
        <w:rPr>
          <w:b/>
          <w:bCs/>
        </w:rPr>
        <w:t xml:space="preserve">These STMBL claims were independently verified:</w:t>
      </w:r>
      <w:r>
        <w:t xml:space="preserve"> </w:t>
      </w:r>
      <w:r>
        <w:t xml:space="preserve">The GitHub repository (github.com/rene-dev/stmbl) and the freakontrol fork (github.com/freakontrol/stmbl) are publicly accessible and match the description. The LinuxCNC forum contains posts by the freakontrol maintainer confirming successful control of an</w:t>
      </w:r>
      <w:r>
        <w:t xml:space="preserve"> </w:t>
      </w:r>
      <w:r>
        <w:rPr>
          <w:b/>
          <w:bCs/>
        </w:rPr>
        <w:t xml:space="preserve">old ABB IRB6400 robotic arm</w:t>
      </w:r>
      <w:r>
        <w:t xml:space="preserve"> </w:t>
      </w:r>
      <w:r>
        <w:t xml:space="preserve">with these drives. The Infineon IKCM30F60GD part number and its 60A peak rating are confirmed in the fork’s documentation.</w:t>
      </w:r>
    </w:p>
    <w:p>
      <w:pPr>
        <w:pStyle w:val="a0"/>
      </w:pPr>
      <w:r>
        <w:t xml:space="preserve">For the initial learning phase,</w:t>
      </w:r>
      <w:r>
        <w:t xml:space="preserve"> </w:t>
      </w:r>
      <w:r>
        <w:rPr>
          <w:b/>
          <w:bCs/>
        </w:rPr>
        <w:t xml:space="preserve">ODrive S1</w:t>
      </w:r>
      <w:r>
        <w:t xml:space="preserve"> </w:t>
      </w:r>
      <w:r>
        <w:t xml:space="preserve">boards ($140 each, pre-assembled) provide an accessible entry point with excellent documentation, allowing students to focus on control algorithms rather than power electronics assembly.</w:t>
      </w:r>
    </w:p>
    <w:bookmarkEnd w:id="30"/>
    <w:bookmarkStart w:id="31" w:name="pcb-fabrication-jlcpcb-and-pcbway"/>
    <w:p>
      <w:pPr>
        <w:pStyle w:val="3"/>
      </w:pPr>
      <w:r>
        <w:t xml:space="preserve">3.3 PCB Fabrication: JLCPCB and PCBWay</w:t>
      </w:r>
    </w:p>
    <w:p>
      <w:pPr>
        <w:pStyle w:val="FirstParagraph"/>
      </w:pPr>
      <w:r>
        <w:t xml:space="preserve">CGG’s plan to fabricate controller boards through</w:t>
      </w:r>
      <w:r>
        <w:t xml:space="preserve"> </w:t>
      </w:r>
      <w:r>
        <w:rPr>
          <w:b/>
          <w:bCs/>
        </w:rPr>
        <w:t xml:space="preserve">JLCPCB, PCBWay, or their Indian equivalents</w:t>
      </w:r>
      <w:r>
        <w:t xml:space="preserve"> </w:t>
      </w:r>
      <w:r>
        <w:t xml:space="preserve">is well-founded.</w:t>
      </w:r>
    </w:p>
    <w:tbl>
      <w:tblPr>
        <w:tblStyle w:val="Table"/>
        <w:tblW w:type="pct" w:w="5000"/>
        <w:jc w:val="left"/>
        <w:tblLayout w:type="fixed"/>
        <w:tblLook w:firstRow="1" w:lastRow="0" w:firstColumn="0" w:lastColumn="0" w:noHBand="0" w:noVBand="0" w:val="0020"/>
      </w:tblPr>
      <w:tblGrid>
        <w:gridCol w:w="672"/>
        <w:gridCol w:w="2316"/>
        <w:gridCol w:w="2390"/>
        <w:gridCol w:w="747"/>
        <w:gridCol w:w="1793"/>
      </w:tblGrid>
      <w:tr>
        <w:trPr>
          <w:tblHeader w:val="on"/>
        </w:trPr>
        <w:tc>
          <w:tcPr/>
          <w:p>
            <w:pPr>
              <w:pStyle w:val="Compact"/>
              <w:jc w:val="left"/>
            </w:pPr>
            <w:r>
              <w:t xml:space="preserve">Service</w:t>
            </w:r>
          </w:p>
        </w:tc>
        <w:tc>
          <w:tcPr/>
          <w:p>
            <w:pPr>
              <w:pStyle w:val="Compact"/>
              <w:jc w:val="left"/>
            </w:pPr>
            <w:r>
              <w:t xml:space="preserve">2-Layer PCB (100×100mm, 5 pcs)</w:t>
            </w:r>
          </w:p>
        </w:tc>
        <w:tc>
          <w:tcPr/>
          <w:p>
            <w:pPr>
              <w:pStyle w:val="Compact"/>
              <w:jc w:val="left"/>
            </w:pPr>
            <w:r>
              <w:t xml:space="preserve">4-Layer PCB (100×100mm, 5 pcs)</w:t>
            </w:r>
          </w:p>
        </w:tc>
        <w:tc>
          <w:tcPr/>
          <w:p>
            <w:pPr>
              <w:pStyle w:val="Compact"/>
              <w:jc w:val="left"/>
            </w:pPr>
            <w:r>
              <w:t xml:space="preserve">Assembly</w:t>
            </w:r>
          </w:p>
        </w:tc>
        <w:tc>
          <w:tcPr/>
          <w:p>
            <w:pPr>
              <w:pStyle w:val="Compact"/>
              <w:jc w:val="left"/>
            </w:pPr>
            <w:r>
              <w:t xml:space="preserve">Shipping to Philippines</w:t>
            </w:r>
          </w:p>
        </w:tc>
      </w:tr>
      <w:tr>
        <w:tc>
          <w:tcPr/>
          <w:p>
            <w:pPr>
              <w:pStyle w:val="Compact"/>
              <w:jc w:val="left"/>
            </w:pPr>
            <w:r>
              <w:rPr>
                <w:b/>
                <w:bCs/>
              </w:rPr>
              <w:t xml:space="preserve">JLCPCB</w:t>
            </w:r>
          </w:p>
        </w:tc>
        <w:tc>
          <w:tcPr/>
          <w:p>
            <w:pPr>
              <w:pStyle w:val="Compact"/>
              <w:jc w:val="left"/>
            </w:pPr>
            <w:r>
              <w:rPr>
                <w:b/>
                <w:bCs/>
              </w:rPr>
              <w:t xml:space="preserve">$2</w:t>
            </w:r>
          </w:p>
        </w:tc>
        <w:tc>
          <w:tcPr/>
          <w:p>
            <w:pPr>
              <w:pStyle w:val="Compact"/>
              <w:jc w:val="left"/>
            </w:pPr>
            <w:r>
              <w:t xml:space="preserve">$5–$8</w:t>
            </w:r>
          </w:p>
        </w:tc>
        <w:tc>
          <w:tcPr/>
          <w:p>
            <w:pPr>
              <w:pStyle w:val="Compact"/>
              <w:jc w:val="left"/>
            </w:pPr>
            <w:r>
              <w:t xml:space="preserve">$8 setup + $0.0017/pad</w:t>
            </w:r>
          </w:p>
        </w:tc>
        <w:tc>
          <w:tcPr/>
          <w:p>
            <w:pPr>
              <w:pStyle w:val="Compact"/>
              <w:jc w:val="left"/>
            </w:pPr>
            <w:r>
              <w:t xml:space="preserve">DHL $12–$25 (5–10 days)</w:t>
            </w:r>
          </w:p>
        </w:tc>
      </w:tr>
      <w:tr>
        <w:tc>
          <w:tcPr/>
          <w:p>
            <w:pPr>
              <w:pStyle w:val="Compact"/>
              <w:jc w:val="left"/>
            </w:pPr>
            <w:r>
              <w:rPr>
                <w:b/>
                <w:bCs/>
              </w:rPr>
              <w:t xml:space="preserve">PCBWay</w:t>
            </w:r>
          </w:p>
        </w:tc>
        <w:tc>
          <w:tcPr/>
          <w:p>
            <w:pPr>
              <w:pStyle w:val="Compact"/>
              <w:jc w:val="left"/>
            </w:pPr>
            <w:r>
              <w:t xml:space="preserve">~$5</w:t>
            </w:r>
          </w:p>
        </w:tc>
        <w:tc>
          <w:tcPr/>
          <w:p>
            <w:pPr>
              <w:pStyle w:val="Compact"/>
              <w:jc w:val="left"/>
            </w:pPr>
            <w:r>
              <w:t xml:space="preserve">$8–$12</w:t>
            </w:r>
          </w:p>
        </w:tc>
        <w:tc>
          <w:tcPr/>
          <w:p>
            <w:pPr>
              <w:pStyle w:val="Compact"/>
              <w:jc w:val="left"/>
            </w:pPr>
            <w:r>
              <w:t xml:space="preserve">Available</w:t>
            </w:r>
          </w:p>
        </w:tc>
        <w:tc>
          <w:tcPr/>
          <w:p>
            <w:pPr>
              <w:pStyle w:val="Compact"/>
              <w:jc w:val="left"/>
            </w:pPr>
            <w:r>
              <w:t xml:space="preserve">DHL/FedEx similar</w:t>
            </w:r>
          </w:p>
        </w:tc>
      </w:tr>
    </w:tbl>
    <w:p>
      <w:pPr>
        <w:pStyle w:val="a0"/>
      </w:pPr>
      <w:r>
        <w:rPr>
          <w:b/>
          <w:bCs/>
        </w:rPr>
        <w:t xml:space="preserve">JLCPCB is the recommended choice.</w:t>
      </w:r>
      <w:r>
        <w:t xml:space="preserve"> </w:t>
      </w:r>
      <w:r>
        <w:t xml:space="preserve">At $2 for 5 pieces of a 2-layer PCB and assembly starting at $8 per design side, fabricating a complete servo drive board (6 needed per robot) costs approximately $60–$120 in PCB costs plus components. Turnaround is 24–48 hours for bare boards and 3–5 days with assembly, with DHL shipping to the Philippines in 5–10 days.</w:t>
      </w:r>
    </w:p>
    <w:p>
      <w:pPr>
        <w:pStyle w:val="a0"/>
      </w:pPr>
      <w:r>
        <w:t xml:space="preserve">The workflow: Design in</w:t>
      </w:r>
      <w:r>
        <w:t xml:space="preserve"> </w:t>
      </w:r>
      <w:r>
        <w:rPr>
          <w:b/>
          <w:bCs/>
        </w:rPr>
        <w:t xml:space="preserve">KiCad</w:t>
      </w:r>
      <w:r>
        <w:t xml:space="preserve"> </w:t>
      </w:r>
      <w:r>
        <w:t xml:space="preserve">(free, open-source) → Export Gerber files → Submit to JLCPCB online → Select components from JLCPCB’s Basic Parts library → Order 5–10 boards with assembly → Receive in 8–15 days, test, iterate.</w:t>
      </w:r>
    </w:p>
    <w:bookmarkEnd w:id="31"/>
    <w:bookmarkEnd w:id="32"/>
    <w:bookmarkStart w:id="36" w:name="X1f40eb8e2d37a381d7c1a8f076c9306cc06d01f"/>
    <w:p>
      <w:pPr>
        <w:pStyle w:val="2"/>
      </w:pPr>
      <w:r>
        <w:t xml:space="preserve">4. Software First, Hardware Second: The Digital Twin Strategy</w:t>
      </w:r>
    </w:p>
    <w:bookmarkStart w:id="33" w:name="godot-for-digital-twin-simulation"/>
    <w:p>
      <w:pPr>
        <w:pStyle w:val="3"/>
      </w:pPr>
      <w:r>
        <w:t xml:space="preserve">4.1 Godot for Digital Twin Simulation</w:t>
      </w:r>
    </w:p>
    <w:p>
      <w:pPr>
        <w:pStyle w:val="FirstParagraph"/>
      </w:pPr>
      <w:r>
        <w:t xml:space="preserve">CGG’s strategy of using</w:t>
      </w:r>
      <w:r>
        <w:t xml:space="preserve"> </w:t>
      </w:r>
      <w:r>
        <w:rPr>
          <w:b/>
          <w:bCs/>
        </w:rPr>
        <w:t xml:space="preserve">Godot</w:t>
      </w:r>
      <w:r>
        <w:t xml:space="preserve"> </w:t>
      </w:r>
      <w:r>
        <w:t xml:space="preserve">to build digital twins before touching physical hardware is aligned with current research. Godot has emerged as a platform for industrial digital twin development due to its open-source nature, lightweight architecture, and real-time 3D capabilities.</w:t>
      </w:r>
    </w:p>
    <w:p>
      <w:pPr>
        <w:pStyle w:val="a0"/>
      </w:pPr>
      <w:r>
        <w:t xml:space="preserve">A</w:t>
      </w:r>
      <w:r>
        <w:t xml:space="preserve"> </w:t>
      </w:r>
      <w:r>
        <w:rPr>
          <w:b/>
          <w:bCs/>
        </w:rPr>
        <w:t xml:space="preserve">2025 master’s thesis</w:t>
      </w:r>
      <w:r>
        <w:t xml:space="preserve"> </w:t>
      </w:r>
      <w:r>
        <w:t xml:space="preserve">from the Institute of Business Administration demonstrated a complete digital twin using</w:t>
      </w:r>
      <w:r>
        <w:t xml:space="preserve"> </w:t>
      </w:r>
      <w:r>
        <w:rPr>
          <w:b/>
          <w:bCs/>
        </w:rPr>
        <w:t xml:space="preserve">Godot integrated with CODESYS</w:t>
      </w:r>
      <w:r>
        <w:t xml:space="preserve"> </w:t>
      </w:r>
      <w:r>
        <w:t xml:space="preserve">(a PLC development environment), modeling an articulated robotic arm with real-time motion control and bidirectional synchronization between physical and virtual systems. A</w:t>
      </w:r>
      <w:r>
        <w:t xml:space="preserve"> </w:t>
      </w:r>
      <w:r>
        <w:rPr>
          <w:b/>
          <w:bCs/>
        </w:rPr>
        <w:t xml:space="preserve">2025 Springer journal paper</w:t>
      </w:r>
      <w:r>
        <w:t xml:space="preserve"> </w:t>
      </w:r>
      <w:r>
        <w:t xml:space="preserve">presented a</w:t>
      </w:r>
      <w:r>
        <w:t xml:space="preserve"> </w:t>
      </w:r>
      <w:r>
        <w:rPr>
          <w:b/>
          <w:bCs/>
        </w:rPr>
        <w:t xml:space="preserve">Distributed Multi-Agent Digital Twin</w:t>
      </w:r>
      <w:r>
        <w:t xml:space="preserve"> </w:t>
      </w:r>
      <w:r>
        <w:t xml:space="preserve">framework built on Godot, using a custom Digital Twin Protocol over UDP for low-latency synchronization. The system leverages Godot’s native</w:t>
      </w:r>
      <w:r>
        <w:t xml:space="preserve"> </w:t>
      </w:r>
      <w:r>
        <w:rPr>
          <w:b/>
          <w:bCs/>
        </w:rPr>
        <w:t xml:space="preserve">High-Level Multiplayer API</w:t>
      </w:r>
      <w:r>
        <w:t xml:space="preserve"> </w:t>
      </w:r>
      <w:r>
        <w:t xml:space="preserve">for state synchronization across multiple robots.</w:t>
      </w:r>
    </w:p>
    <w:p>
      <w:pPr>
        <w:pStyle w:val="a0"/>
      </w:pPr>
      <w:r>
        <w:rPr>
          <w:b/>
          <w:bCs/>
        </w:rPr>
        <w:t xml:space="preserve">These Godot claims were independently verified.</w:t>
      </w:r>
      <w:r>
        <w:t xml:space="preserve"> </w:t>
      </w:r>
      <w:r>
        <w:t xml:space="preserve">The 2025 Springer paper and the Institute of Business Administration thesis are both publicly accessible. Additionally,</w:t>
      </w:r>
      <w:r>
        <w:t xml:space="preserve"> </w:t>
      </w:r>
      <w:r>
        <w:rPr>
          <w:b/>
          <w:bCs/>
        </w:rPr>
        <w:t xml:space="preserve">eSOL, a Japanese embedded software company, officially launched eXRP in April 2026</w:t>
      </w:r>
      <w:r>
        <w:t xml:space="preserve"> </w:t>
      </w:r>
      <w:r>
        <w:t xml:space="preserve">— a real-time 3D engine for industrial applications built on top of Godot, explicitly targeting digital twins, robotics simulation, and industrial HMI. The April 1, 2026 launch date was confirmed through eSOL’s official press releases and product documentation.</w:t>
      </w:r>
    </w:p>
    <w:p>
      <w:pPr>
        <w:pStyle w:val="a0"/>
      </w:pPr>
      <w:r>
        <w:t xml:space="preserve">For CGG’s project, students can:</w:t>
      </w:r>
    </w:p>
    <w:p>
      <w:pPr>
        <w:pStyle w:val="Compact"/>
        <w:numPr>
          <w:ilvl w:val="0"/>
          <w:numId w:val="1002"/>
        </w:numPr>
      </w:pPr>
      <w:r>
        <w:t xml:space="preserve">Model each acquired robot’s</w:t>
      </w:r>
      <w:r>
        <w:t xml:space="preserve"> </w:t>
      </w:r>
      <w:r>
        <w:rPr>
          <w:b/>
          <w:bCs/>
        </w:rPr>
        <w:t xml:space="preserve">kinematic structure, joint limits, and workspace</w:t>
      </w:r>
      <w:r>
        <w:t xml:space="preserve"> </w:t>
      </w:r>
      <w:r>
        <w:t xml:space="preserve">in Godot before writing motor control code</w:t>
      </w:r>
    </w:p>
    <w:p>
      <w:pPr>
        <w:pStyle w:val="Compact"/>
        <w:numPr>
          <w:ilvl w:val="0"/>
          <w:numId w:val="1002"/>
        </w:numPr>
      </w:pPr>
      <w:r>
        <w:t xml:space="preserve">Test</w:t>
      </w:r>
      <w:r>
        <w:t xml:space="preserve"> </w:t>
      </w:r>
      <w:r>
        <w:rPr>
          <w:b/>
          <w:bCs/>
        </w:rPr>
        <w:t xml:space="preserve">trajectory planning, collision detection, and safety limits</w:t>
      </w:r>
      <w:r>
        <w:t xml:space="preserve"> </w:t>
      </w:r>
      <w:r>
        <w:t xml:space="preserve">in simulation where failures cost nothing</w:t>
      </w:r>
    </w:p>
    <w:p>
      <w:pPr>
        <w:pStyle w:val="Compact"/>
        <w:numPr>
          <w:ilvl w:val="0"/>
          <w:numId w:val="1002"/>
        </w:numPr>
      </w:pPr>
      <w:r>
        <w:t xml:space="preserve">Validate</w:t>
      </w:r>
      <w:r>
        <w:t xml:space="preserve"> </w:t>
      </w:r>
      <w:r>
        <w:rPr>
          <w:b/>
          <w:bCs/>
        </w:rPr>
        <w:t xml:space="preserve">inverse kinematics algorithms</w:t>
      </w:r>
      <w:r>
        <w:t xml:space="preserve"> </w:t>
      </w:r>
      <w:r>
        <w:t xml:space="preserve">against the digital twin before deploying to hardware</w:t>
      </w:r>
    </w:p>
    <w:p>
      <w:pPr>
        <w:pStyle w:val="Compact"/>
        <w:numPr>
          <w:ilvl w:val="0"/>
          <w:numId w:val="1002"/>
        </w:numPr>
      </w:pPr>
      <w:r>
        <w:t xml:space="preserve">Demonstrate robot behavior to stakeholders and partner schools without the physical robot present</w:t>
      </w:r>
    </w:p>
    <w:bookmarkEnd w:id="33"/>
    <w:bookmarkStart w:id="34" w:name="X1021b2b5b8c2e141e431fd0d88269f52d7b85b6"/>
    <w:p>
      <w:pPr>
        <w:pStyle w:val="3"/>
      </w:pPr>
      <w:r>
        <w:t xml:space="preserve">4.2 LeRobot: The AI-Assisted Development Stack</w:t>
      </w:r>
    </w:p>
    <w:p>
      <w:pPr>
        <w:pStyle w:val="FirstParagraph"/>
      </w:pPr>
      <w:r>
        <w:rPr>
          <w:b/>
          <w:bCs/>
        </w:rPr>
        <w:t xml:space="preserve">LeRobot</w:t>
      </w:r>
      <w:r>
        <w:t xml:space="preserve">, developed by</w:t>
      </w:r>
      <w:r>
        <w:t xml:space="preserve"> </w:t>
      </w:r>
      <w:r>
        <w:rPr>
          <w:b/>
          <w:bCs/>
        </w:rPr>
        <w:t xml:space="preserve">Hugging Face</w:t>
      </w:r>
      <w:r>
        <w:t xml:space="preserve">, is the most comprehensive open-source framework for end-to-end robot learning, integrating hardware control, dataset collection, model training, and policy deployment into a unified PyTorch-based pipeline.</w:t>
      </w:r>
    </w:p>
    <w:tbl>
      <w:tblPr>
        <w:tblStyle w:val="Table"/>
        <w:tblW w:type="pct" w:w="5000"/>
        <w:jc w:val="left"/>
        <w:tblLayout w:type="fixed"/>
        <w:tblLook w:firstRow="1" w:lastRow="0" w:firstColumn="0" w:lastColumn="0" w:noHBand="0" w:noVBand="0" w:val="0020"/>
      </w:tblPr>
      <w:tblGrid>
        <w:gridCol w:w="4067"/>
        <w:gridCol w:w="3852"/>
      </w:tblGrid>
      <w:tr>
        <w:trPr>
          <w:tblHeader w:val="on"/>
        </w:trPr>
        <w:tc>
          <w:tcPr/>
          <w:p>
            <w:pPr>
              <w:pStyle w:val="Compact"/>
              <w:jc w:val="left"/>
            </w:pPr>
            <w:r>
              <w:t xml:space="preserve">LeRobot Capability</w:t>
            </w:r>
          </w:p>
        </w:tc>
        <w:tc>
          <w:tcPr/>
          <w:p>
            <w:pPr>
              <w:pStyle w:val="Compact"/>
              <w:jc w:val="left"/>
            </w:pPr>
            <w:r>
              <w:t xml:space="preserve">How CGG Benefits</w:t>
            </w:r>
          </w:p>
        </w:tc>
      </w:tr>
      <w:tr>
        <w:tc>
          <w:tcPr/>
          <w:p>
            <w:pPr>
              <w:pStyle w:val="Compact"/>
              <w:jc w:val="left"/>
            </w:pPr>
            <w:r>
              <w:rPr>
                <w:b/>
                <w:bCs/>
              </w:rPr>
              <w:t xml:space="preserve">Unified Robot class interface</w:t>
            </w:r>
          </w:p>
        </w:tc>
        <w:tc>
          <w:tcPr/>
          <w:p>
            <w:pPr>
              <w:pStyle w:val="Compact"/>
              <w:jc w:val="left"/>
            </w:pPr>
            <w:r>
              <w:t xml:space="preserve">Standardizes control across different robot brands; one codebase adapts to multiple arms</w:t>
            </w:r>
          </w:p>
        </w:tc>
      </w:tr>
      <w:tr>
        <w:tc>
          <w:tcPr/>
          <w:p>
            <w:pPr>
              <w:pStyle w:val="Compact"/>
              <w:jc w:val="left"/>
            </w:pPr>
            <w:r>
              <w:rPr>
                <w:b/>
                <w:bCs/>
              </w:rPr>
              <w:t xml:space="preserve">LeRobotDataset format</w:t>
            </w:r>
          </w:p>
        </w:tc>
        <w:tc>
          <w:tcPr/>
          <w:p>
            <w:pPr>
              <w:pStyle w:val="Compact"/>
              <w:jc w:val="left"/>
            </w:pPr>
            <w:r>
              <w:t xml:space="preserve">Standardized data format (Parquet + MP4) enables sharing datasets across the community</w:t>
            </w:r>
          </w:p>
        </w:tc>
      </w:tr>
      <w:tr>
        <w:tc>
          <w:tcPr/>
          <w:p>
            <w:pPr>
              <w:pStyle w:val="Compact"/>
              <w:jc w:val="left"/>
            </w:pPr>
            <w:r>
              <w:rPr>
                <w:b/>
                <w:bCs/>
              </w:rPr>
              <w:t xml:space="preserve">State-of-the-art policies</w:t>
            </w:r>
          </w:p>
        </w:tc>
        <w:tc>
          <w:tcPr/>
          <w:p>
            <w:pPr>
              <w:pStyle w:val="Compact"/>
              <w:jc w:val="left"/>
            </w:pPr>
            <w:r>
              <w:t xml:space="preserve">ACT, Diffusion Policy, VQ-BeT, TDMPC2 — proven algorithms that transfer to real robots</w:t>
            </w:r>
          </w:p>
        </w:tc>
      </w:tr>
      <w:tr>
        <w:tc>
          <w:tcPr/>
          <w:p>
            <w:pPr>
              <w:pStyle w:val="Compact"/>
              <w:jc w:val="left"/>
            </w:pPr>
            <w:r>
              <w:rPr>
                <w:b/>
                <w:bCs/>
              </w:rPr>
              <w:t xml:space="preserve">VLA models</w:t>
            </w:r>
          </w:p>
        </w:tc>
        <w:tc>
          <w:tcPr/>
          <w:p>
            <w:pPr>
              <w:pStyle w:val="Compact"/>
              <w:jc w:val="left"/>
            </w:pPr>
            <w:r>
              <w:t xml:space="preserve">Pi0, Pi0.5, GR00T N1.5 — vision-language-action models for generalist robot control</w:t>
            </w:r>
          </w:p>
        </w:tc>
      </w:tr>
      <w:tr>
        <w:tc>
          <w:tcPr/>
          <w:p>
            <w:pPr>
              <w:pStyle w:val="Compact"/>
              <w:jc w:val="left"/>
            </w:pPr>
            <w:r>
              <w:rPr>
                <w:b/>
                <w:bCs/>
              </w:rPr>
              <w:t xml:space="preserve">Hugging Face Hub integration</w:t>
            </w:r>
          </w:p>
        </w:tc>
        <w:tc>
          <w:tcPr/>
          <w:p>
            <w:pPr>
              <w:pStyle w:val="Compact"/>
              <w:jc w:val="left"/>
            </w:pPr>
            <w:r>
              <w:t xml:space="preserve">Datasets and models can be published, shared, and fine-tuned by the global community</w:t>
            </w:r>
          </w:p>
        </w:tc>
      </w:tr>
    </w:tbl>
    <w:p>
      <w:pPr>
        <w:pStyle w:val="a0"/>
      </w:pPr>
      <w:r>
        <w:rPr>
          <w:b/>
          <w:bCs/>
        </w:rPr>
        <w:t xml:space="preserve">The NVIDIA-Hugging Face partnership claim was independently verified and is extremely current.</w:t>
      </w:r>
      <w:r>
        <w:t xml:space="preserve"> </w:t>
      </w:r>
      <w:r>
        <w:t xml:space="preserve">The announcement — integrating</w:t>
      </w:r>
      <w:r>
        <w:t xml:space="preserve"> </w:t>
      </w:r>
      <w:r>
        <w:rPr>
          <w:b/>
          <w:bCs/>
        </w:rPr>
        <w:t xml:space="preserve">NVIDIA Isaac GR00T 1.7</w:t>
      </w:r>
      <w:r>
        <w:t xml:space="preserve">,</w:t>
      </w:r>
      <w:r>
        <w:t xml:space="preserve"> </w:t>
      </w:r>
      <w:r>
        <w:rPr>
          <w:b/>
          <w:bCs/>
        </w:rPr>
        <w:t xml:space="preserve">Isaac Teleop</w:t>
      </w:r>
      <w:r>
        <w:t xml:space="preserve">, and</w:t>
      </w:r>
      <w:r>
        <w:t xml:space="preserve"> </w:t>
      </w:r>
      <w:r>
        <w:rPr>
          <w:b/>
          <w:bCs/>
        </w:rPr>
        <w:t xml:space="preserve">Cosmos 3</w:t>
      </w:r>
      <w:r>
        <w:t xml:space="preserve"> </w:t>
      </w:r>
      <w:r>
        <w:t xml:space="preserve">into LeRobot — was confirmed as real and dated</w:t>
      </w:r>
      <w:r>
        <w:t xml:space="preserve"> </w:t>
      </w:r>
      <w:r>
        <w:rPr>
          <w:b/>
          <w:bCs/>
        </w:rPr>
        <w:t xml:space="preserve">July 7, 2026</w:t>
      </w:r>
      <w:r>
        <w:t xml:space="preserve">. This represents access to foundation models pretrained on millions of robot trajectories that CGG can fine-tune for specific robot arms and tasks.</w:t>
      </w:r>
    </w:p>
    <w:p>
      <w:pPr>
        <w:pStyle w:val="a0"/>
      </w:pPr>
      <w:r>
        <w:t xml:space="preserve">The workflow: Model robot in Godot → Export URDF/DH parameters to LeRobot simulation → Collect demonstrations (sim first, then hardware) → Train policies using LeRobot algorithms → Validate in simulation → Deploy to physical robot.</w:t>
      </w:r>
    </w:p>
    <w:bookmarkEnd w:id="34"/>
    <w:bookmarkStart w:id="35" w:name="the-compatibility-matrix-cggs-real-ip"/>
    <w:p>
      <w:pPr>
        <w:pStyle w:val="3"/>
      </w:pPr>
      <w:r>
        <w:t xml:space="preserve">4.3 The Compatibility Matrix: CGG’s Real IP</w:t>
      </w:r>
    </w:p>
    <w:p>
      <w:pPr>
        <w:pStyle w:val="FirstParagraph"/>
      </w:pPr>
      <w:r>
        <w:t xml:space="preserve">The real intellectual property in CGG’s system is not any single robot or controller — it is the</w:t>
      </w:r>
      <w:r>
        <w:t xml:space="preserve"> </w:t>
      </w:r>
      <w:r>
        <w:rPr>
          <w:b/>
          <w:bCs/>
        </w:rPr>
        <w:t xml:space="preserve">growing library of</w:t>
      </w:r>
      <w:r>
        <w:rPr>
          <w:b/>
          <w:bCs/>
        </w:rPr>
        <w:t xml:space="preserve"> </w:t>
      </w:r>
      <w:r>
        <w:rPr>
          <w:b/>
          <w:bCs/>
        </w:rPr>
        <w:t xml:space="preserve">“</w:t>
      </w:r>
      <w:r>
        <w:rPr>
          <w:b/>
          <w:bCs/>
        </w:rPr>
        <w:t xml:space="preserve">how this brand, this generation, this servo protocol actually talks</w:t>
      </w:r>
      <w:r>
        <w:rPr>
          <w:b/>
          <w:bCs/>
        </w:rPr>
        <w:t xml:space="preserve">”</w:t>
      </w:r>
      <w:r>
        <w:t xml:space="preserve"> </w:t>
      </w:r>
      <w:r>
        <w:t xml:space="preserve">that accumulates with every unit brought back to life. This</w:t>
      </w:r>
      <w:r>
        <w:t xml:space="preserve"> </w:t>
      </w:r>
      <w:r>
        <w:t xml:space="preserve">“</w:t>
      </w:r>
      <w:r>
        <w:t xml:space="preserve">compatibility matrix</w:t>
      </w:r>
      <w:r>
        <w:t xml:space="preserve">”</w:t>
      </w:r>
      <w:r>
        <w:t xml:space="preserve"> </w:t>
      </w:r>
      <w:r>
        <w:t xml:space="preserve">becomes CGG’s moat: a documented, tested, open-source knowledge base that maps each robot brand’s proprietary protocols to the open-source control stack.</w:t>
      </w:r>
    </w:p>
    <w:tbl>
      <w:tblPr>
        <w:tblStyle w:val="Table"/>
        <w:tblW w:type="pct" w:w="5000"/>
        <w:jc w:val="left"/>
        <w:tblLayout w:type="fixed"/>
        <w:tblLook w:firstRow="1" w:lastRow="0" w:firstColumn="0" w:lastColumn="0" w:noHBand="0" w:noVBand="0" w:val="0020"/>
      </w:tblPr>
      <w:tblGrid>
        <w:gridCol w:w="1458"/>
        <w:gridCol w:w="2292"/>
        <w:gridCol w:w="2501"/>
        <w:gridCol w:w="1667"/>
      </w:tblGrid>
      <w:tr>
        <w:trPr>
          <w:tblHeader w:val="on"/>
        </w:trPr>
        <w:tc>
          <w:tcPr/>
          <w:p>
            <w:pPr>
              <w:pStyle w:val="Compact"/>
              <w:jc w:val="left"/>
            </w:pPr>
            <w:r>
              <w:t xml:space="preserve">Layer</w:t>
            </w:r>
          </w:p>
        </w:tc>
        <w:tc>
          <w:tcPr/>
          <w:p>
            <w:pPr>
              <w:pStyle w:val="Compact"/>
              <w:jc w:val="left"/>
            </w:pPr>
            <w:r>
              <w:t xml:space="preserve">Component</w:t>
            </w:r>
          </w:p>
        </w:tc>
        <w:tc>
          <w:tcPr/>
          <w:p>
            <w:pPr>
              <w:pStyle w:val="Compact"/>
              <w:jc w:val="left"/>
            </w:pPr>
            <w:r>
              <w:t xml:space="preserve">Technology</w:t>
            </w:r>
          </w:p>
        </w:tc>
        <w:tc>
          <w:tcPr/>
          <w:p>
            <w:pPr>
              <w:pStyle w:val="Compact"/>
              <w:jc w:val="left"/>
            </w:pPr>
            <w:r>
              <w:t xml:space="preserve">Status</w:t>
            </w:r>
          </w:p>
        </w:tc>
      </w:tr>
      <w:tr>
        <w:tc>
          <w:tcPr/>
          <w:p>
            <w:pPr>
              <w:pStyle w:val="Compact"/>
              <w:jc w:val="left"/>
            </w:pPr>
            <w:r>
              <w:rPr>
                <w:b/>
                <w:bCs/>
              </w:rPr>
              <w:t xml:space="preserve">Simulation</w:t>
            </w:r>
          </w:p>
        </w:tc>
        <w:tc>
          <w:tcPr/>
          <w:p>
            <w:pPr>
              <w:pStyle w:val="Compact"/>
              <w:jc w:val="left"/>
            </w:pPr>
            <w:r>
              <w:t xml:space="preserve">Digital twin</w:t>
            </w:r>
          </w:p>
        </w:tc>
        <w:tc>
          <w:tcPr/>
          <w:p>
            <w:pPr>
              <w:pStyle w:val="Compact"/>
              <w:jc w:val="left"/>
            </w:pPr>
            <w:r>
              <w:t xml:space="preserve">Godot + custom DTP</w:t>
            </w:r>
          </w:p>
        </w:tc>
        <w:tc>
          <w:tcPr/>
          <w:p>
            <w:pPr>
              <w:pStyle w:val="Compact"/>
              <w:jc w:val="left"/>
            </w:pPr>
            <w:r>
              <w:t xml:space="preserve">To be developed</w:t>
            </w:r>
          </w:p>
        </w:tc>
      </w:tr>
      <w:tr>
        <w:tc>
          <w:tcPr/>
          <w:p>
            <w:pPr>
              <w:pStyle w:val="Compact"/>
              <w:jc w:val="left"/>
            </w:pPr>
            <w:r>
              <w:rPr>
                <w:b/>
                <w:bCs/>
              </w:rPr>
              <w:t xml:space="preserve">AI/ML</w:t>
            </w:r>
          </w:p>
        </w:tc>
        <w:tc>
          <w:tcPr/>
          <w:p>
            <w:pPr>
              <w:pStyle w:val="Compact"/>
              <w:jc w:val="left"/>
            </w:pPr>
            <w:r>
              <w:t xml:space="preserve">Policy training</w:t>
            </w:r>
          </w:p>
        </w:tc>
        <w:tc>
          <w:tcPr/>
          <w:p>
            <w:pPr>
              <w:pStyle w:val="Compact"/>
              <w:jc w:val="left"/>
            </w:pPr>
            <w:r>
              <w:t xml:space="preserve">LeRobot (PyTorch) + NVIDIA GR00T</w:t>
            </w:r>
          </w:p>
        </w:tc>
        <w:tc>
          <w:tcPr/>
          <w:p>
            <w:pPr>
              <w:pStyle w:val="Compact"/>
              <w:jc w:val="left"/>
            </w:pPr>
            <w:r>
              <w:t xml:space="preserve">Available now</w:t>
            </w:r>
          </w:p>
        </w:tc>
      </w:tr>
      <w:tr>
        <w:tc>
          <w:tcPr/>
          <w:p>
            <w:pPr>
              <w:pStyle w:val="Compact"/>
              <w:jc w:val="left"/>
            </w:pPr>
            <w:r>
              <w:rPr>
                <w:b/>
                <w:bCs/>
              </w:rPr>
              <w:t xml:space="preserve">High-level control</w:t>
            </w:r>
          </w:p>
        </w:tc>
        <w:tc>
          <w:tcPr/>
          <w:p>
            <w:pPr>
              <w:pStyle w:val="Compact"/>
              <w:jc w:val="left"/>
            </w:pPr>
            <w:r>
              <w:t xml:space="preserve">Kinematics, trajectory planning</w:t>
            </w:r>
          </w:p>
        </w:tc>
        <w:tc>
          <w:tcPr/>
          <w:p>
            <w:pPr>
              <w:pStyle w:val="Compact"/>
              <w:jc w:val="left"/>
            </w:pPr>
            <w:r>
              <w:t xml:space="preserve">Custom C++ / LeRobot</w:t>
            </w:r>
          </w:p>
        </w:tc>
        <w:tc>
          <w:tcPr/>
          <w:p>
            <w:pPr>
              <w:pStyle w:val="Compact"/>
              <w:jc w:val="left"/>
            </w:pPr>
            <w:r>
              <w:t xml:space="preserve">To be developed</w:t>
            </w:r>
          </w:p>
        </w:tc>
      </w:tr>
      <w:tr>
        <w:tc>
          <w:tcPr/>
          <w:p>
            <w:pPr>
              <w:pStyle w:val="Compact"/>
              <w:jc w:val="left"/>
            </w:pPr>
            <w:r>
              <w:rPr>
                <w:b/>
                <w:bCs/>
              </w:rPr>
              <w:t xml:space="preserve">Middleware</w:t>
            </w:r>
          </w:p>
        </w:tc>
        <w:tc>
          <w:tcPr/>
          <w:p>
            <w:pPr>
              <w:pStyle w:val="Compact"/>
              <w:jc w:val="left"/>
            </w:pPr>
            <w:r>
              <w:t xml:space="preserve">Real-time communication</w:t>
            </w:r>
          </w:p>
        </w:tc>
        <w:tc>
          <w:tcPr/>
          <w:p>
            <w:pPr>
              <w:pStyle w:val="Compact"/>
              <w:jc w:val="left"/>
            </w:pPr>
            <w:r>
              <w:t xml:space="preserve">LinuxCNC HAL / ROS2</w:t>
            </w:r>
          </w:p>
        </w:tc>
        <w:tc>
          <w:tcPr/>
          <w:p>
            <w:pPr>
              <w:pStyle w:val="Compact"/>
              <w:jc w:val="left"/>
            </w:pPr>
            <w:r>
              <w:t xml:space="preserve">Mature, available</w:t>
            </w:r>
          </w:p>
        </w:tc>
      </w:tr>
      <w:tr>
        <w:tc>
          <w:tcPr/>
          <w:p>
            <w:pPr>
              <w:pStyle w:val="Compact"/>
              <w:jc w:val="left"/>
            </w:pPr>
            <w:r>
              <w:rPr>
                <w:b/>
                <w:bCs/>
              </w:rPr>
              <w:t xml:space="preserve">Hardware abstraction</w:t>
            </w:r>
          </w:p>
        </w:tc>
        <w:tc>
          <w:tcPr/>
          <w:p>
            <w:pPr>
              <w:pStyle w:val="Compact"/>
              <w:jc w:val="left"/>
            </w:pPr>
            <w:r>
              <w:t xml:space="preserve">FPGA motor control</w:t>
            </w:r>
          </w:p>
        </w:tc>
        <w:tc>
          <w:tcPr/>
          <w:p>
            <w:pPr>
              <w:pStyle w:val="Compact"/>
              <w:jc w:val="left"/>
            </w:pPr>
            <w:r>
              <w:t xml:space="preserve">Zynq-7020 (Zybo Z7)</w:t>
            </w:r>
          </w:p>
        </w:tc>
        <w:tc>
          <w:tcPr/>
          <w:p>
            <w:pPr>
              <w:pStyle w:val="Compact"/>
              <w:jc w:val="left"/>
            </w:pPr>
            <w:r>
              <w:t xml:space="preserve">Reference design available</w:t>
            </w:r>
          </w:p>
        </w:tc>
      </w:tr>
      <w:tr>
        <w:tc>
          <w:tcPr/>
          <w:p>
            <w:pPr>
              <w:pStyle w:val="Compact"/>
              <w:jc w:val="left"/>
            </w:pPr>
            <w:r>
              <w:rPr>
                <w:b/>
                <w:bCs/>
              </w:rPr>
              <w:t xml:space="preserve">Servo drives</w:t>
            </w:r>
          </w:p>
        </w:tc>
        <w:tc>
          <w:tcPr/>
          <w:p>
            <w:pPr>
              <w:pStyle w:val="Compact"/>
              <w:jc w:val="left"/>
            </w:pPr>
            <w:r>
              <w:t xml:space="preserve">Motor control</w:t>
            </w:r>
          </w:p>
        </w:tc>
        <w:tc>
          <w:tcPr/>
          <w:p>
            <w:pPr>
              <w:pStyle w:val="Compact"/>
              <w:jc w:val="left"/>
            </w:pPr>
            <w:r>
              <w:t xml:space="preserve">STMBL / ODrive</w:t>
            </w:r>
          </w:p>
        </w:tc>
        <w:tc>
          <w:tcPr/>
          <w:p>
            <w:pPr>
              <w:pStyle w:val="Compact"/>
              <w:jc w:val="left"/>
            </w:pPr>
            <w:r>
              <w:t xml:space="preserve">Mature, open-source</w:t>
            </w:r>
          </w:p>
        </w:tc>
      </w:tr>
      <w:tr>
        <w:tc>
          <w:tcPr/>
          <w:p>
            <w:pPr>
              <w:pStyle w:val="Compact"/>
              <w:jc w:val="left"/>
            </w:pPr>
            <w:r>
              <w:rPr>
                <w:b/>
                <w:bCs/>
              </w:rPr>
              <w:t xml:space="preserve">Power electronics</w:t>
            </w:r>
          </w:p>
        </w:tc>
        <w:tc>
          <w:tcPr/>
          <w:p>
            <w:pPr>
              <w:pStyle w:val="Compact"/>
              <w:jc w:val="left"/>
            </w:pPr>
            <w:r>
              <w:t xml:space="preserve">DC bus, PFC</w:t>
            </w:r>
          </w:p>
        </w:tc>
        <w:tc>
          <w:tcPr/>
          <w:p>
            <w:pPr>
              <w:pStyle w:val="Compact"/>
              <w:jc w:val="left"/>
            </w:pPr>
            <w:r>
              <w:t xml:space="preserve">Custom / bench supplies</w:t>
            </w:r>
          </w:p>
        </w:tc>
        <w:tc>
          <w:tcPr/>
          <w:p>
            <w:pPr>
              <w:pStyle w:val="Compact"/>
              <w:jc w:val="left"/>
            </w:pPr>
            <w:r>
              <w:t xml:space="preserve">To be developed</w:t>
            </w:r>
          </w:p>
        </w:tc>
      </w:tr>
      <w:tr>
        <w:tc>
          <w:tcPr/>
          <w:p>
            <w:pPr>
              <w:pStyle w:val="Compact"/>
              <w:jc w:val="left"/>
            </w:pPr>
            <w:r>
              <w:rPr>
                <w:b/>
                <w:bCs/>
              </w:rPr>
              <w:t xml:space="preserve">Mechanical</w:t>
            </w:r>
          </w:p>
        </w:tc>
        <w:tc>
          <w:tcPr/>
          <w:p>
            <w:pPr>
              <w:pStyle w:val="Compact"/>
              <w:jc w:val="left"/>
            </w:pPr>
            <w:r>
              <w:t xml:space="preserve">Frame, mounts, repairs</w:t>
            </w:r>
          </w:p>
        </w:tc>
        <w:tc>
          <w:tcPr/>
          <w:p>
            <w:pPr>
              <w:pStyle w:val="Compact"/>
              <w:jc w:val="left"/>
            </w:pPr>
            <w:r>
              <w:t xml:space="preserve">Cornersteel Systems Corp</w:t>
            </w:r>
          </w:p>
        </w:tc>
        <w:tc>
          <w:tcPr/>
          <w:p>
            <w:pPr>
              <w:pStyle w:val="Compact"/>
              <w:jc w:val="left"/>
            </w:pPr>
            <w:r>
              <w:t xml:space="preserve">Existing capability</w:t>
            </w:r>
          </w:p>
        </w:tc>
      </w:tr>
    </w:tbl>
    <w:bookmarkEnd w:id="35"/>
    <w:bookmarkEnd w:id="36"/>
    <w:bookmarkStart w:id="37" w:name="X6fde889d624a81687cd9f765c77bea88d071d92"/>
    <w:p>
      <w:pPr>
        <w:pStyle w:val="2"/>
      </w:pPr>
      <w:r>
        <w:t xml:space="preserve">5. Mechanical Fabrication: Cornersteel Systems Corporation</w:t>
      </w:r>
    </w:p>
    <w:p>
      <w:pPr>
        <w:pStyle w:val="FirstParagraph"/>
      </w:pPr>
      <w:r>
        <w:rPr>
          <w:b/>
          <w:bCs/>
        </w:rPr>
        <w:t xml:space="preserve">Cornersteel Systems Corporation (CSC)</w:t>
      </w:r>
      <w:r>
        <w:t xml:space="preserve"> </w:t>
      </w:r>
      <w:r>
        <w:t xml:space="preserve">is the natural home for the mechanical side of this project. The report’s first version described bringing</w:t>
      </w:r>
      <w:r>
        <w:t xml:space="preserve"> </w:t>
      </w:r>
      <w:r>
        <w:rPr>
          <w:b/>
          <w:bCs/>
        </w:rPr>
        <w:t xml:space="preserve">milling, laser cutting, and press brake capability</w:t>
      </w:r>
      <w:r>
        <w:t xml:space="preserve"> </w:t>
      </w:r>
      <w:r>
        <w:t xml:space="preserve">in-house. This needs to be framed accurately:</w:t>
      </w:r>
      <w:r>
        <w:t xml:space="preserve"> </w:t>
      </w:r>
      <w:r>
        <w:rPr>
          <w:b/>
          <w:bCs/>
        </w:rPr>
        <w:t xml:space="preserve">industrial-grade milling, laser cutting, and press brake equipment is a multi-million-peso capital acquisition</w:t>
      </w:r>
      <w:r>
        <w:t xml:space="preserve">, not a line item in the two-year hardware budget. CSC’s capability build-out is a</w:t>
      </w:r>
      <w:r>
        <w:t xml:space="preserve"> </w:t>
      </w:r>
      <w:r>
        <w:rPr>
          <w:b/>
          <w:bCs/>
        </w:rPr>
        <w:t xml:space="preserve">separate, longer-term capital expenditure</w:t>
      </w:r>
      <w:r>
        <w:t xml:space="preserve"> </w:t>
      </w:r>
      <w:r>
        <w:t xml:space="preserve">that should be phased beyond the initial two-year window, or funded through a distinct capex approval process.</w:t>
      </w:r>
    </w:p>
    <w:p>
      <w:pPr>
        <w:pStyle w:val="a0"/>
      </w:pPr>
      <w:r>
        <w:t xml:space="preserve">Within the two-year project scope, CSC can contribute immediately with existing capabilities:</w:t>
      </w:r>
    </w:p>
    <w:tbl>
      <w:tblPr>
        <w:tblStyle w:val="Table"/>
        <w:tblW w:type="pct" w:w="5000"/>
        <w:jc w:val="left"/>
        <w:tblLayout w:type="fixed"/>
        <w:tblLook w:firstRow="1" w:lastRow="0" w:firstColumn="0" w:lastColumn="0" w:noHBand="0" w:noVBand="0" w:val="0020"/>
      </w:tblPr>
      <w:tblGrid>
        <w:gridCol w:w="931"/>
        <w:gridCol w:w="2018"/>
        <w:gridCol w:w="3416"/>
        <w:gridCol w:w="1552"/>
      </w:tblGrid>
      <w:tr>
        <w:trPr>
          <w:tblHeader w:val="on"/>
        </w:trPr>
        <w:tc>
          <w:tcPr/>
          <w:p>
            <w:pPr>
              <w:pStyle w:val="Compact"/>
              <w:jc w:val="left"/>
            </w:pPr>
            <w:r>
              <w:t xml:space="preserve">Task</w:t>
            </w:r>
          </w:p>
        </w:tc>
        <w:tc>
          <w:tcPr/>
          <w:p>
            <w:pPr>
              <w:pStyle w:val="Compact"/>
              <w:jc w:val="left"/>
            </w:pPr>
            <w:r>
              <w:t xml:space="preserve">Description</w:t>
            </w:r>
          </w:p>
        </w:tc>
        <w:tc>
          <w:tcPr/>
          <w:p>
            <w:pPr>
              <w:pStyle w:val="Compact"/>
              <w:jc w:val="left"/>
            </w:pPr>
            <w:r>
              <w:t xml:space="preserve">CSC Capability Needed</w:t>
            </w:r>
          </w:p>
        </w:tc>
        <w:tc>
          <w:tcPr/>
          <w:p>
            <w:pPr>
              <w:pStyle w:val="Compact"/>
              <w:jc w:val="left"/>
            </w:pPr>
            <w:r>
              <w:t xml:space="preserve">Timeline</w:t>
            </w:r>
          </w:p>
        </w:tc>
      </w:tr>
      <w:tr>
        <w:tc>
          <w:tcPr/>
          <w:p>
            <w:pPr>
              <w:pStyle w:val="Compact"/>
              <w:jc w:val="left"/>
            </w:pPr>
            <w:r>
              <w:rPr>
                <w:b/>
                <w:bCs/>
              </w:rPr>
              <w:t xml:space="preserve">Re-greasing gear reducers</w:t>
            </w:r>
          </w:p>
        </w:tc>
        <w:tc>
          <w:tcPr/>
          <w:p>
            <w:pPr>
              <w:pStyle w:val="Compact"/>
              <w:jc w:val="left"/>
            </w:pPr>
            <w:r>
              <w:t xml:space="preserve">Replace old grease in harmonic drives and planetary gearboxes</w:t>
            </w:r>
          </w:p>
        </w:tc>
        <w:tc>
          <w:tcPr/>
          <w:p>
            <w:pPr>
              <w:pStyle w:val="Compact"/>
              <w:jc w:val="left"/>
            </w:pPr>
            <w:r>
              <w:t xml:space="preserve">Basic mechanical workshop</w:t>
            </w:r>
          </w:p>
        </w:tc>
        <w:tc>
          <w:tcPr/>
          <w:p>
            <w:pPr>
              <w:pStyle w:val="Compact"/>
              <w:jc w:val="left"/>
            </w:pPr>
            <w:r>
              <w:t xml:space="preserve">Immediate</w:t>
            </w:r>
          </w:p>
        </w:tc>
      </w:tr>
      <w:tr>
        <w:tc>
          <w:tcPr/>
          <w:p>
            <w:pPr>
              <w:pStyle w:val="Compact"/>
              <w:jc w:val="left"/>
            </w:pPr>
            <w:r>
              <w:rPr>
                <w:b/>
                <w:bCs/>
              </w:rPr>
              <w:t xml:space="preserve">Bearing replacement</w:t>
            </w:r>
          </w:p>
        </w:tc>
        <w:tc>
          <w:tcPr/>
          <w:p>
            <w:pPr>
              <w:pStyle w:val="Compact"/>
              <w:jc w:val="left"/>
            </w:pPr>
            <w:r>
              <w:t xml:space="preserve">Replace worn bearings in joints</w:t>
            </w:r>
          </w:p>
        </w:tc>
        <w:tc>
          <w:tcPr/>
          <w:p>
            <w:pPr>
              <w:pStyle w:val="Compact"/>
              <w:jc w:val="left"/>
            </w:pPr>
            <w:r>
              <w:t xml:space="preserve">Press, bearing pullers</w:t>
            </w:r>
          </w:p>
        </w:tc>
        <w:tc>
          <w:tcPr/>
          <w:p>
            <w:pPr>
              <w:pStyle w:val="Compact"/>
              <w:jc w:val="left"/>
            </w:pPr>
            <w:r>
              <w:t xml:space="preserve">Immediate</w:t>
            </w:r>
          </w:p>
        </w:tc>
      </w:tr>
      <w:tr>
        <w:tc>
          <w:tcPr/>
          <w:p>
            <w:pPr>
              <w:pStyle w:val="Compact"/>
              <w:jc w:val="left"/>
            </w:pPr>
            <w:r>
              <w:rPr>
                <w:b/>
                <w:bCs/>
              </w:rPr>
              <w:t xml:space="preserve">Paint and cosmetic refinishing</w:t>
            </w:r>
          </w:p>
        </w:tc>
        <w:tc>
          <w:tcPr/>
          <w:p>
            <w:pPr>
              <w:pStyle w:val="Compact"/>
              <w:jc w:val="left"/>
            </w:pPr>
            <w:r>
              <w:t xml:space="preserve">Remove rust, repaint, restore appearance</w:t>
            </w:r>
          </w:p>
        </w:tc>
        <w:tc>
          <w:tcPr/>
          <w:p>
            <w:pPr>
              <w:pStyle w:val="Compact"/>
              <w:jc w:val="left"/>
            </w:pPr>
            <w:r>
              <w:t xml:space="preserve">Sandblasting, spray booth</w:t>
            </w:r>
          </w:p>
        </w:tc>
        <w:tc>
          <w:tcPr/>
          <w:p>
            <w:pPr>
              <w:pStyle w:val="Compact"/>
              <w:jc w:val="left"/>
            </w:pPr>
            <w:r>
              <w:t xml:space="preserve">Immediate</w:t>
            </w:r>
          </w:p>
        </w:tc>
      </w:tr>
      <w:tr>
        <w:tc>
          <w:tcPr/>
          <w:p>
            <w:pPr>
              <w:pStyle w:val="Compact"/>
              <w:jc w:val="left"/>
            </w:pPr>
            <w:r>
              <w:rPr>
                <w:b/>
                <w:bCs/>
              </w:rPr>
              <w:t xml:space="preserve">Mount fabrication</w:t>
            </w:r>
          </w:p>
        </w:tc>
        <w:tc>
          <w:tcPr/>
          <w:p>
            <w:pPr>
              <w:pStyle w:val="Compact"/>
              <w:jc w:val="left"/>
            </w:pPr>
            <w:r>
              <w:t xml:space="preserve">Build steel mounting frames and bases</w:t>
            </w:r>
          </w:p>
        </w:tc>
        <w:tc>
          <w:tcPr/>
          <w:p>
            <w:pPr>
              <w:pStyle w:val="Compact"/>
              <w:jc w:val="left"/>
            </w:pPr>
            <w:r>
              <w:rPr>
                <w:b/>
                <w:bCs/>
              </w:rPr>
              <w:t xml:space="preserve">Milling, laser cutting, press brake</w:t>
            </w:r>
          </w:p>
        </w:tc>
        <w:tc>
          <w:tcPr/>
          <w:p>
            <w:pPr>
              <w:pStyle w:val="Compact"/>
              <w:jc w:val="left"/>
            </w:pPr>
            <w:r>
              <w:rPr>
                <w:b/>
                <w:bCs/>
              </w:rPr>
              <w:t xml:space="preserve">Long-term capex</w:t>
            </w:r>
          </w:p>
        </w:tc>
      </w:tr>
      <w:tr>
        <w:tc>
          <w:tcPr/>
          <w:p>
            <w:pPr>
              <w:pStyle w:val="Compact"/>
              <w:jc w:val="left"/>
            </w:pPr>
            <w:r>
              <w:rPr>
                <w:b/>
                <w:bCs/>
              </w:rPr>
              <w:t xml:space="preserve">End-effector fabrication</w:t>
            </w:r>
          </w:p>
        </w:tc>
        <w:tc>
          <w:tcPr/>
          <w:p>
            <w:pPr>
              <w:pStyle w:val="Compact"/>
              <w:jc w:val="left"/>
            </w:pPr>
            <w:r>
              <w:t xml:space="preserve">Build grippers, tools, and adapters</w:t>
            </w:r>
          </w:p>
        </w:tc>
        <w:tc>
          <w:tcPr/>
          <w:p>
            <w:pPr>
              <w:pStyle w:val="Compact"/>
              <w:jc w:val="left"/>
            </w:pPr>
            <w:r>
              <w:t xml:space="preserve">CNC machining, welding</w:t>
            </w:r>
          </w:p>
        </w:tc>
        <w:tc>
          <w:tcPr/>
          <w:p>
            <w:pPr>
              <w:pStyle w:val="Compact"/>
              <w:jc w:val="left"/>
            </w:pPr>
            <w:r>
              <w:t xml:space="preserve">Long-term or outsourced</w:t>
            </w:r>
          </w:p>
        </w:tc>
      </w:tr>
      <w:tr>
        <w:tc>
          <w:tcPr/>
          <w:p>
            <w:pPr>
              <w:pStyle w:val="Compact"/>
              <w:jc w:val="left"/>
            </w:pPr>
            <w:r>
              <w:rPr>
                <w:b/>
                <w:bCs/>
              </w:rPr>
              <w:t xml:space="preserve">Safety enclosure fabrication</w:t>
            </w:r>
          </w:p>
        </w:tc>
        <w:tc>
          <w:tcPr/>
          <w:p>
            <w:pPr>
              <w:pStyle w:val="Compact"/>
              <w:jc w:val="left"/>
            </w:pPr>
            <w:r>
              <w:t xml:space="preserve">Build light curtain mounts, scanner brackets</w:t>
            </w:r>
          </w:p>
        </w:tc>
        <w:tc>
          <w:tcPr/>
          <w:p>
            <w:pPr>
              <w:pStyle w:val="Compact"/>
              <w:jc w:val="left"/>
            </w:pPr>
            <w:r>
              <w:t xml:space="preserve">Laser cutting, welding</w:t>
            </w:r>
          </w:p>
        </w:tc>
        <w:tc>
          <w:tcPr/>
          <w:p>
            <w:pPr>
              <w:pStyle w:val="Compact"/>
              <w:jc w:val="left"/>
            </w:pPr>
            <w:r>
              <w:t xml:space="preserve">Long-term or outsourced</w:t>
            </w:r>
          </w:p>
        </w:tc>
      </w:tr>
    </w:tbl>
    <w:p>
      <w:pPr>
        <w:pStyle w:val="a0"/>
      </w:pPr>
      <w:r>
        <w:t xml:space="preserve">The long-term vision — CSC fabricating steel bodies and mounts for arms that need them — remains valid but must be</w:t>
      </w:r>
      <w:r>
        <w:t xml:space="preserve"> </w:t>
      </w:r>
      <w:r>
        <w:rPr>
          <w:b/>
          <w:bCs/>
        </w:rPr>
        <w:t xml:space="preserve">clearly separated</w:t>
      </w:r>
      <w:r>
        <w:t xml:space="preserve"> </w:t>
      </w:r>
      <w:r>
        <w:t xml:space="preserve">from the two-year project budget. If CSC acquires milling, laser cutting, and press brake capability during or after the two-year window, it creates a second revenue stream alongside refurbishment and provides a natural home for mechanical engineering skills developed through the robot project.</w:t>
      </w:r>
    </w:p>
    <w:bookmarkEnd w:id="37"/>
    <w:bookmarkStart w:id="40" w:name="X179c1807d30a324900707ca461c58c5ce7469d7"/>
    <w:p>
      <w:pPr>
        <w:pStyle w:val="2"/>
      </w:pPr>
      <w:r>
        <w:t xml:space="preserve">6. The Talent Pipeline: Partner Schools and Curriculum Development</w:t>
      </w:r>
    </w:p>
    <w:p>
      <w:pPr>
        <w:pStyle w:val="FirstParagraph"/>
      </w:pPr>
      <w:r>
        <w:t xml:space="preserve">This cannot stay locked inside CGG. The skillset transfer — mechanical, electronic, and software — must flow through</w:t>
      </w:r>
      <w:r>
        <w:t xml:space="preserve"> </w:t>
      </w:r>
      <w:r>
        <w:rPr>
          <w:b/>
          <w:bCs/>
        </w:rPr>
        <w:t xml:space="preserve">partner schools</w:t>
      </w:r>
      <w:r>
        <w:t xml:space="preserve">, so migrating a Japanese-controller robot onto CGG’s open-source stack becomes a</w:t>
      </w:r>
      <w:r>
        <w:t xml:space="preserve"> </w:t>
      </w:r>
      <w:r>
        <w:rPr>
          <w:b/>
          <w:bCs/>
        </w:rPr>
        <w:t xml:space="preserve">teachable, repeatable curriculum</w:t>
      </w:r>
      <w:r>
        <w:t xml:space="preserve">, not tribal knowledge that lives in three engineers’ heads.</w:t>
      </w:r>
    </w:p>
    <w:bookmarkStart w:id="38" w:name="curriculum-structure"/>
    <w:p>
      <w:pPr>
        <w:pStyle w:val="3"/>
      </w:pPr>
      <w:r>
        <w:t xml:space="preserve">6.1 Curriculum Structure</w:t>
      </w:r>
    </w:p>
    <w:tbl>
      <w:tblPr>
        <w:tblStyle w:val="Table"/>
        <w:tblW w:type="pct" w:w="5000"/>
        <w:jc w:val="left"/>
        <w:tblLayout w:type="fixed"/>
        <w:tblLook w:firstRow="1" w:lastRow="0" w:firstColumn="0" w:lastColumn="0" w:noHBand="0" w:noVBand="0" w:val="0020"/>
      </w:tblPr>
      <w:tblGrid>
        <w:gridCol w:w="864"/>
        <w:gridCol w:w="1440"/>
        <w:gridCol w:w="1584"/>
        <w:gridCol w:w="2160"/>
        <w:gridCol w:w="1872"/>
      </w:tblGrid>
      <w:tr>
        <w:trPr>
          <w:tblHeader w:val="on"/>
        </w:trPr>
        <w:tc>
          <w:tcPr/>
          <w:p>
            <w:pPr>
              <w:pStyle w:val="Compact"/>
              <w:jc w:val="left"/>
            </w:pPr>
            <w:r>
              <w:t xml:space="preserve">Year</w:t>
            </w:r>
          </w:p>
        </w:tc>
        <w:tc>
          <w:tcPr/>
          <w:p>
            <w:pPr>
              <w:pStyle w:val="Compact"/>
              <w:jc w:val="left"/>
            </w:pPr>
            <w:r>
              <w:t xml:space="preserve">Semester</w:t>
            </w:r>
          </w:p>
        </w:tc>
        <w:tc>
          <w:tcPr/>
          <w:p>
            <w:pPr>
              <w:pStyle w:val="Compact"/>
              <w:jc w:val="left"/>
            </w:pPr>
            <w:r>
              <w:t xml:space="preserve">Focus Area</w:t>
            </w:r>
          </w:p>
        </w:tc>
        <w:tc>
          <w:tcPr/>
          <w:p>
            <w:pPr>
              <w:pStyle w:val="Compact"/>
              <w:jc w:val="left"/>
            </w:pPr>
            <w:r>
              <w:t xml:space="preserve">Student Output</w:t>
            </w:r>
          </w:p>
        </w:tc>
        <w:tc>
          <w:tcPr/>
          <w:p>
            <w:pPr>
              <w:pStyle w:val="Compact"/>
              <w:jc w:val="left"/>
            </w:pPr>
            <w:r>
              <w:t xml:space="preserve">Risk Factor</w:t>
            </w:r>
          </w:p>
        </w:tc>
      </w:tr>
      <w:tr>
        <w:tc>
          <w:tcPr/>
          <w:p>
            <w:pPr>
              <w:pStyle w:val="Compact"/>
              <w:jc w:val="left"/>
            </w:pPr>
            <w:r>
              <w:rPr>
                <w:b/>
                <w:bCs/>
              </w:rPr>
              <w:t xml:space="preserve">Year 1</w:t>
            </w:r>
          </w:p>
        </w:tc>
        <w:tc>
          <w:tcPr/>
          <w:p>
            <w:pPr>
              <w:pStyle w:val="Compact"/>
              <w:jc w:val="left"/>
            </w:pPr>
            <w:r>
              <w:t xml:space="preserve">Sem 1</w:t>
            </w:r>
          </w:p>
        </w:tc>
        <w:tc>
          <w:tcPr/>
          <w:p>
            <w:pPr>
              <w:pStyle w:val="Compact"/>
              <w:jc w:val="left"/>
            </w:pPr>
            <w:r>
              <w:rPr>
                <w:b/>
                <w:bCs/>
              </w:rPr>
              <w:t xml:space="preserve">Mechanical assessment &amp; reverse-engineering</w:t>
            </w:r>
            <w:r>
              <w:t xml:space="preserve"> </w:t>
            </w:r>
            <w:r>
              <w:t xml:space="preserve">— Document robot anatomy, measure kinematics, decode encoder signals</w:t>
            </w:r>
          </w:p>
        </w:tc>
        <w:tc>
          <w:tcPr/>
          <w:p>
            <w:pPr>
              <w:pStyle w:val="Compact"/>
              <w:jc w:val="left"/>
            </w:pPr>
            <w:r>
              <w:t xml:space="preserve">Complete robot documentation; encoder protocol specification</w:t>
            </w:r>
          </w:p>
        </w:tc>
        <w:tc>
          <w:tcPr/>
          <w:p>
            <w:pPr>
              <w:pStyle w:val="Compact"/>
              <w:jc w:val="left"/>
            </w:pPr>
            <w:r>
              <w:t xml:space="preserve">⚠️</w:t>
            </w:r>
            <w:r>
              <w:t xml:space="preserve"> </w:t>
            </w:r>
            <w:r>
              <w:rPr>
                <w:b/>
                <w:bCs/>
              </w:rPr>
              <w:t xml:space="preserve">Resolver encoders on old Fanuc models are extremely difficult to reverse-engineer and can add 3–6 months</w:t>
            </w:r>
          </w:p>
        </w:tc>
      </w:tr>
      <w:tr>
        <w:tc>
          <w:tcPr/>
          <w:p>
            <w:pPr>
              <w:pStyle w:val="Compact"/>
              <w:jc w:val="left"/>
            </w:pPr>
            <w:r>
              <w:rPr>
                <w:b/>
                <w:bCs/>
              </w:rPr>
              <w:t xml:space="preserve">Year 1</w:t>
            </w:r>
          </w:p>
        </w:tc>
        <w:tc>
          <w:tcPr/>
          <w:p>
            <w:pPr>
              <w:pStyle w:val="Compact"/>
              <w:jc w:val="left"/>
            </w:pPr>
            <w:r>
              <w:t xml:space="preserve">Sem 2</w:t>
            </w:r>
          </w:p>
        </w:tc>
        <w:tc>
          <w:tcPr/>
          <w:p>
            <w:pPr>
              <w:pStyle w:val="Compact"/>
              <w:jc w:val="left"/>
            </w:pPr>
            <w:r>
              <w:rPr>
                <w:b/>
                <w:bCs/>
              </w:rPr>
              <w:t xml:space="preserve">Servo drive development</w:t>
            </w:r>
            <w:r>
              <w:t xml:space="preserve"> </w:t>
            </w:r>
            <w:r>
              <w:t xml:space="preserve">— Build STMBL drives, tune motor control loops, validate with bench tests</w:t>
            </w:r>
          </w:p>
        </w:tc>
        <w:tc>
          <w:tcPr/>
          <w:p>
            <w:pPr>
              <w:pStyle w:val="Compact"/>
              <w:jc w:val="left"/>
            </w:pPr>
            <w:r>
              <w:t xml:space="preserve">Working servo drives for 1–2 joints</w:t>
            </w:r>
          </w:p>
        </w:tc>
        <w:tc>
          <w:tcPr/>
          <w:p>
            <w:pPr>
              <w:pStyle w:val="Compact"/>
              <w:jc w:val="left"/>
            </w:pPr>
            <w:r>
              <w:t xml:space="preserve">Low risk; STMBL is well-documented</w:t>
            </w:r>
          </w:p>
        </w:tc>
      </w:tr>
      <w:tr>
        <w:tc>
          <w:tcPr/>
          <w:p>
            <w:pPr>
              <w:pStyle w:val="Compact"/>
              <w:jc w:val="left"/>
            </w:pPr>
            <w:r>
              <w:rPr>
                <w:b/>
                <w:bCs/>
              </w:rPr>
              <w:t xml:space="preserve">Year 2</w:t>
            </w:r>
          </w:p>
        </w:tc>
        <w:tc>
          <w:tcPr/>
          <w:p>
            <w:pPr>
              <w:pStyle w:val="Compact"/>
              <w:jc w:val="left"/>
            </w:pPr>
            <w:r>
              <w:t xml:space="preserve">Sem 1</w:t>
            </w:r>
          </w:p>
        </w:tc>
        <w:tc>
          <w:tcPr/>
          <w:p>
            <w:pPr>
              <w:pStyle w:val="Compact"/>
              <w:jc w:val="left"/>
            </w:pPr>
            <w:r>
              <w:rPr>
                <w:b/>
                <w:bCs/>
              </w:rPr>
              <w:t xml:space="preserve">Controller integration</w:t>
            </w:r>
            <w:r>
              <w:t xml:space="preserve"> </w:t>
            </w:r>
            <w:r>
              <w:t xml:space="preserve">— Zynq FPGA programming, LinuxCNC integration, safety systems</w:t>
            </w:r>
          </w:p>
        </w:tc>
        <w:tc>
          <w:tcPr/>
          <w:p>
            <w:pPr>
              <w:pStyle w:val="Compact"/>
              <w:jc w:val="left"/>
            </w:pPr>
            <w:r>
              <w:t xml:space="preserve">Working controller for 3+ joints; digital twin in Godot</w:t>
            </w:r>
          </w:p>
        </w:tc>
        <w:tc>
          <w:tcPr/>
          <w:p>
            <w:pPr>
              <w:pStyle w:val="Compact"/>
              <w:jc w:val="left"/>
            </w:pPr>
            <w:r>
              <w:t xml:space="preserve">⚠️</w:t>
            </w:r>
            <w:r>
              <w:t xml:space="preserve"> </w:t>
            </w:r>
            <w:r>
              <w:rPr>
                <w:b/>
                <w:bCs/>
              </w:rPr>
              <w:t xml:space="preserve">FPGA development learning curve is steep; budget extra time</w:t>
            </w:r>
          </w:p>
        </w:tc>
      </w:tr>
      <w:tr>
        <w:tc>
          <w:tcPr/>
          <w:p>
            <w:pPr>
              <w:pStyle w:val="Compact"/>
              <w:jc w:val="left"/>
            </w:pPr>
            <w:r>
              <w:rPr>
                <w:b/>
                <w:bCs/>
              </w:rPr>
              <w:t xml:space="preserve">Year 2</w:t>
            </w:r>
          </w:p>
        </w:tc>
        <w:tc>
          <w:tcPr/>
          <w:p>
            <w:pPr>
              <w:pStyle w:val="Compact"/>
              <w:jc w:val="left"/>
            </w:pPr>
            <w:r>
              <w:t xml:space="preserve">Sem 2</w:t>
            </w:r>
          </w:p>
        </w:tc>
        <w:tc>
          <w:tcPr/>
          <w:p>
            <w:pPr>
              <w:pStyle w:val="Compact"/>
              <w:jc w:val="left"/>
            </w:pPr>
            <w:r>
              <w:rPr>
                <w:b/>
                <w:bCs/>
              </w:rPr>
              <w:t xml:space="preserve">Kinematics &amp; AI</w:t>
            </w:r>
            <w:r>
              <w:t xml:space="preserve"> </w:t>
            </w:r>
            <w:r>
              <w:t xml:space="preserve">— Inverse kinematics, LeRobot policy training, sim-to-real validation</w:t>
            </w:r>
          </w:p>
        </w:tc>
        <w:tc>
          <w:tcPr/>
          <w:p>
            <w:pPr>
              <w:pStyle w:val="Compact"/>
              <w:jc w:val="left"/>
            </w:pPr>
            <w:r>
              <w:t xml:space="preserve">Full 6-axis control; trained manipulation policies</w:t>
            </w:r>
          </w:p>
        </w:tc>
        <w:tc>
          <w:tcPr/>
          <w:p>
            <w:pPr>
              <w:pStyle w:val="Compact"/>
              <w:jc w:val="left"/>
            </w:pPr>
            <w:r>
              <w:t xml:space="preserve">⚠️</w:t>
            </w:r>
            <w:r>
              <w:t xml:space="preserve"> </w:t>
            </w:r>
            <w:r>
              <w:rPr>
                <w:b/>
                <w:bCs/>
              </w:rPr>
              <w:t xml:space="preserve">Sim-to-real transfer is notoriously difficult; expect iteration</w:t>
            </w:r>
          </w:p>
        </w:tc>
      </w:tr>
    </w:tbl>
    <w:p>
      <w:pPr>
        <w:pStyle w:val="a0"/>
      </w:pPr>
      <w:r>
        <w:rPr>
          <w:b/>
          <w:bCs/>
        </w:rPr>
        <w:t xml:space="preserve">Schedule slack:</w:t>
      </w:r>
      <w:r>
        <w:t xml:space="preserve"> </w:t>
      </w:r>
      <w:r>
        <w:t xml:space="preserve">The curriculum arc is sensible, but the categories of work that most commonly blow through estimates in real reverse-engineering projects are exactly the ones flagged above.</w:t>
      </w:r>
      <w:r>
        <w:t xml:space="preserve"> </w:t>
      </w:r>
      <w:r>
        <w:rPr>
          <w:b/>
          <w:bCs/>
        </w:rPr>
        <w:t xml:space="preserve">Encoder reverse-engineering</w:t>
      </w:r>
      <w:r>
        <w:t xml:space="preserve"> </w:t>
      </w:r>
      <w:r>
        <w:t xml:space="preserve">(especially resolver-based systems),</w:t>
      </w:r>
      <w:r>
        <w:t xml:space="preserve"> </w:t>
      </w:r>
      <w:r>
        <w:rPr>
          <w:b/>
          <w:bCs/>
        </w:rPr>
        <w:t xml:space="preserve">FPGA development</w:t>
      </w:r>
      <w:r>
        <w:t xml:space="preserve">, and</w:t>
      </w:r>
      <w:r>
        <w:t xml:space="preserve"> </w:t>
      </w:r>
      <w:r>
        <w:rPr>
          <w:b/>
          <w:bCs/>
        </w:rPr>
        <w:t xml:space="preserve">sim-to-real policy transfer</w:t>
      </w:r>
      <w:r>
        <w:t xml:space="preserve"> </w:t>
      </w:r>
      <w:r>
        <w:t xml:space="preserve">all have a history of taking 2–3× longer than initially estimated. CGG should budget</w:t>
      </w:r>
      <w:r>
        <w:t xml:space="preserve"> </w:t>
      </w:r>
      <w:r>
        <w:rPr>
          <w:b/>
          <w:bCs/>
        </w:rPr>
        <w:t xml:space="preserve">at least one full semester of slack into Year 2</w:t>
      </w:r>
      <w:r>
        <w:t xml:space="preserve"> </w:t>
      </w:r>
      <w:r>
        <w:t xml:space="preserve">before promising partner schools a working 6-axis controller on a fixed schedule.</w:t>
      </w:r>
    </w:p>
    <w:bookmarkEnd w:id="38"/>
    <w:bookmarkStart w:id="39" w:name="open-source-publication-strategy"/>
    <w:p>
      <w:pPr>
        <w:pStyle w:val="3"/>
      </w:pPr>
      <w:r>
        <w:t xml:space="preserve">6.2 Open-Source Publication Strategy</w:t>
      </w:r>
    </w:p>
    <w:p>
      <w:pPr>
        <w:pStyle w:val="FirstParagraph"/>
      </w:pPr>
      <w:r>
        <w:t xml:space="preserve">Every module should produce</w:t>
      </w:r>
      <w:r>
        <w:t xml:space="preserve"> </w:t>
      </w:r>
      <w:r>
        <w:rPr>
          <w:b/>
          <w:bCs/>
        </w:rPr>
        <w:t xml:space="preserve">publishable open-source artifacts</w:t>
      </w:r>
      <w:r>
        <w:t xml:space="preserve">:</w:t>
      </w:r>
    </w:p>
    <w:p>
      <w:pPr>
        <w:pStyle w:val="Compact"/>
        <w:numPr>
          <w:ilvl w:val="0"/>
          <w:numId w:val="1003"/>
        </w:numPr>
      </w:pPr>
      <w:r>
        <w:rPr>
          <w:b/>
          <w:bCs/>
        </w:rPr>
        <w:t xml:space="preserve">Encoder protocol specifications</w:t>
      </w:r>
      <w:r>
        <w:t xml:space="preserve"> </w:t>
      </w:r>
      <w:r>
        <w:t xml:space="preserve">— Documented, tested, shared on GitHub</w:t>
      </w:r>
    </w:p>
    <w:p>
      <w:pPr>
        <w:pStyle w:val="Compact"/>
        <w:numPr>
          <w:ilvl w:val="0"/>
          <w:numId w:val="1003"/>
        </w:numPr>
      </w:pPr>
      <w:r>
        <w:rPr>
          <w:b/>
          <w:bCs/>
        </w:rPr>
        <w:t xml:space="preserve">Servo drive PCB designs</w:t>
      </w:r>
      <w:r>
        <w:t xml:space="preserve"> </w:t>
      </w:r>
      <w:r>
        <w:t xml:space="preserve">— KiCad files, BOMs, assembly instructions</w:t>
      </w:r>
    </w:p>
    <w:p>
      <w:pPr>
        <w:pStyle w:val="Compact"/>
        <w:numPr>
          <w:ilvl w:val="0"/>
          <w:numId w:val="1003"/>
        </w:numPr>
      </w:pPr>
      <w:r>
        <w:rPr>
          <w:b/>
          <w:bCs/>
        </w:rPr>
        <w:t xml:space="preserve">Controller firmware</w:t>
      </w:r>
      <w:r>
        <w:t xml:space="preserve"> </w:t>
      </w:r>
      <w:r>
        <w:t xml:space="preserve">— FPGA HDL, LinuxCNC HAL components, ROS2 packages</w:t>
      </w:r>
    </w:p>
    <w:p>
      <w:pPr>
        <w:pStyle w:val="Compact"/>
        <w:numPr>
          <w:ilvl w:val="0"/>
          <w:numId w:val="1003"/>
        </w:numPr>
      </w:pPr>
      <w:r>
        <w:rPr>
          <w:b/>
          <w:bCs/>
        </w:rPr>
        <w:t xml:space="preserve">Digital twin models</w:t>
      </w:r>
      <w:r>
        <w:t xml:space="preserve"> </w:t>
      </w:r>
      <w:r>
        <w:t xml:space="preserve">— Godot projects with accurate robot kinematics</w:t>
      </w:r>
    </w:p>
    <w:p>
      <w:pPr>
        <w:pStyle w:val="Compact"/>
        <w:numPr>
          <w:ilvl w:val="0"/>
          <w:numId w:val="1003"/>
        </w:numPr>
      </w:pPr>
      <w:r>
        <w:rPr>
          <w:b/>
          <w:bCs/>
        </w:rPr>
        <w:t xml:space="preserve">LeRobot datasets</w:t>
      </w:r>
      <w:r>
        <w:t xml:space="preserve"> </w:t>
      </w:r>
      <w:r>
        <w:t xml:space="preserve">— Demonstration data published on Hugging Face Hub</w:t>
      </w:r>
    </w:p>
    <w:p>
      <w:pPr>
        <w:pStyle w:val="Compact"/>
        <w:numPr>
          <w:ilvl w:val="0"/>
          <w:numId w:val="1003"/>
        </w:numPr>
      </w:pPr>
      <w:r>
        <w:rPr>
          <w:b/>
          <w:bCs/>
        </w:rPr>
        <w:t xml:space="preserve">Training curricula</w:t>
      </w:r>
      <w:r>
        <w:t xml:space="preserve"> </w:t>
      </w:r>
      <w:r>
        <w:t xml:space="preserve">— Lesson plans, lab exercises, assessment rubrics</w:t>
      </w:r>
    </w:p>
    <w:p>
      <w:pPr>
        <w:pStyle w:val="FirstParagraph"/>
      </w:pPr>
      <w:r>
        <w:t xml:space="preserve">This open-source approach attracts global contributors, establishes CGG as a thought leader, creates a recruitment pipeline, and ensures knowledge survives personnel changes.</w:t>
      </w:r>
    </w:p>
    <w:bookmarkEnd w:id="39"/>
    <w:bookmarkEnd w:id="40"/>
    <w:bookmarkStart w:id="43" w:name="competition-and-moat-analysis"/>
    <w:p>
      <w:pPr>
        <w:pStyle w:val="2"/>
      </w:pPr>
      <w:r>
        <w:t xml:space="preserve">7. Competition and Moat Analysis</w:t>
      </w:r>
    </w:p>
    <w:bookmarkStart w:id="41" w:name="chinese-generic-controllers"/>
    <w:p>
      <w:pPr>
        <w:pStyle w:val="3"/>
      </w:pPr>
      <w:r>
        <w:t xml:space="preserve">7.1 Chinese Generic Controllers</w:t>
      </w:r>
    </w:p>
    <w:p>
      <w:pPr>
        <w:pStyle w:val="FirstParagraph"/>
      </w:pPr>
      <w:r>
        <w:t xml:space="preserve">CGG will not be the only one chasing this niche. Chinese suppliers already sell generic replacement controllers aimed at the exact same</w:t>
      </w:r>
      <w:r>
        <w:t xml:space="preserve"> </w:t>
      </w:r>
      <w:r>
        <w:t xml:space="preserve">“</w:t>
      </w:r>
      <w:r>
        <w:t xml:space="preserve">orphaned Japanese robot</w:t>
      </w:r>
      <w:r>
        <w:t xml:space="preserve">”</w:t>
      </w:r>
      <w:r>
        <w:t xml:space="preserve"> </w:t>
      </w:r>
      <w:r>
        <w:t xml:space="preserve">problem, at aggressive prices. These controllers typically offer PLC-based or motion-control-card-based architectures, limited brand compatibility, closed-source firmware, and price points of</w:t>
      </w:r>
      <w:r>
        <w:t xml:space="preserve"> </w:t>
      </w:r>
      <w:r>
        <w:rPr>
          <w:b/>
          <w:bCs/>
        </w:rPr>
        <w:t xml:space="preserve">$1,000–$5,000 per controller</w:t>
      </w:r>
      <w:r>
        <w:t xml:space="preserve">.</w:t>
      </w:r>
    </w:p>
    <w:p>
      <w:pPr>
        <w:pStyle w:val="a0"/>
      </w:pPr>
      <w:r>
        <w:t xml:space="preserve">CGG’s edge is</w:t>
      </w:r>
      <w:r>
        <w:t xml:space="preserve"> </w:t>
      </w:r>
      <w:r>
        <w:rPr>
          <w:b/>
          <w:bCs/>
        </w:rPr>
        <w:t xml:space="preserve">depth</w:t>
      </w:r>
      <w:r>
        <w:t xml:space="preserve">, not being first. The stacked capability that is genuinely hard to copy:</w:t>
      </w:r>
    </w:p>
    <w:p>
      <w:pPr>
        <w:pStyle w:val="Compact"/>
        <w:numPr>
          <w:ilvl w:val="0"/>
          <w:numId w:val="1004"/>
        </w:numPr>
      </w:pPr>
      <w:r>
        <w:rPr>
          <w:b/>
          <w:bCs/>
        </w:rPr>
        <w:t xml:space="preserve">The compatibility matrix</w:t>
      </w:r>
      <w:r>
        <w:t xml:space="preserve"> </w:t>
      </w:r>
      <w:r>
        <w:t xml:space="preserve">— documented, tested protocol knowledge for multiple brands</w:t>
      </w:r>
    </w:p>
    <w:p>
      <w:pPr>
        <w:pStyle w:val="Compact"/>
        <w:numPr>
          <w:ilvl w:val="0"/>
          <w:numId w:val="1004"/>
        </w:numPr>
      </w:pPr>
      <w:r>
        <w:rPr>
          <w:b/>
          <w:bCs/>
        </w:rPr>
        <w:t xml:space="preserve">The digital twins</w:t>
      </w:r>
      <w:r>
        <w:t xml:space="preserve"> </w:t>
      </w:r>
      <w:r>
        <w:t xml:space="preserve">— Godot-based simulation for safe experimentation</w:t>
      </w:r>
    </w:p>
    <w:p>
      <w:pPr>
        <w:pStyle w:val="Compact"/>
        <w:numPr>
          <w:ilvl w:val="0"/>
          <w:numId w:val="1004"/>
        </w:numPr>
      </w:pPr>
      <w:r>
        <w:rPr>
          <w:b/>
          <w:bCs/>
        </w:rPr>
        <w:t xml:space="preserve">The trained partner-school talent</w:t>
      </w:r>
      <w:r>
        <w:t xml:space="preserve"> </w:t>
      </w:r>
      <w:r>
        <w:t xml:space="preserve">— a pipeline of engineers who built controllers from scratch</w:t>
      </w:r>
    </w:p>
    <w:p>
      <w:pPr>
        <w:pStyle w:val="Compact"/>
        <w:numPr>
          <w:ilvl w:val="0"/>
          <w:numId w:val="1004"/>
        </w:numPr>
      </w:pPr>
      <w:r>
        <w:rPr>
          <w:b/>
          <w:bCs/>
        </w:rPr>
        <w:t xml:space="preserve">The in-house steel fabrication</w:t>
      </w:r>
      <w:r>
        <w:t xml:space="preserve"> </w:t>
      </w:r>
      <w:r>
        <w:t xml:space="preserve">(long-term) — CSC’s mechanical manufacturing capability</w:t>
      </w:r>
    </w:p>
    <w:p>
      <w:pPr>
        <w:pStyle w:val="Compact"/>
        <w:numPr>
          <w:ilvl w:val="0"/>
          <w:numId w:val="1004"/>
        </w:numPr>
      </w:pPr>
      <w:r>
        <w:rPr>
          <w:b/>
          <w:bCs/>
        </w:rPr>
        <w:t xml:space="preserve">The open-source IP</w:t>
      </w:r>
      <w:r>
        <w:t xml:space="preserve"> </w:t>
      </w:r>
      <w:r>
        <w:t xml:space="preserve">— freely available designs that attract contributors and establish reputation</w:t>
      </w:r>
    </w:p>
    <w:bookmarkEnd w:id="41"/>
    <w:bookmarkStart w:id="42" w:name="safety-liability-and-certification"/>
    <w:p>
      <w:pPr>
        <w:pStyle w:val="3"/>
      </w:pPr>
      <w:r>
        <w:t xml:space="preserve">7.2 Safety, Liability, and Certification</w:t>
      </w:r>
    </w:p>
    <w:p>
      <w:pPr>
        <w:pStyle w:val="FirstParagraph"/>
      </w:pPr>
      <w:r>
        <w:t xml:space="preserve">Safety certification and liability sit entirely on CGG once a retrofitted arm goes into a client’s production line. This must be treated seriously:</w:t>
      </w:r>
    </w:p>
    <w:p>
      <w:pPr>
        <w:pStyle w:val="Compact"/>
        <w:numPr>
          <w:ilvl w:val="0"/>
          <w:numId w:val="1005"/>
        </w:numPr>
      </w:pPr>
      <w:r>
        <w:rPr>
          <w:b/>
          <w:bCs/>
        </w:rPr>
        <w:t xml:space="preserve">Hardware safety interlocks</w:t>
      </w:r>
      <w:r>
        <w:t xml:space="preserve"> </w:t>
      </w:r>
      <w:r>
        <w:t xml:space="preserve">— Emergency stop circuits that cut power independently of software (redundant relay-based)</w:t>
      </w:r>
    </w:p>
    <w:p>
      <w:pPr>
        <w:pStyle w:val="Compact"/>
        <w:numPr>
          <w:ilvl w:val="0"/>
          <w:numId w:val="1005"/>
        </w:numPr>
      </w:pPr>
      <w:r>
        <w:rPr>
          <w:b/>
          <w:bCs/>
        </w:rPr>
        <w:t xml:space="preserve">Software joint limits</w:t>
      </w:r>
      <w:r>
        <w:t xml:space="preserve"> </w:t>
      </w:r>
      <w:r>
        <w:t xml:space="preserve">— Enforced in both controller and servo drive firmware</w:t>
      </w:r>
    </w:p>
    <w:p>
      <w:pPr>
        <w:pStyle w:val="Compact"/>
        <w:numPr>
          <w:ilvl w:val="0"/>
          <w:numId w:val="1005"/>
        </w:numPr>
      </w:pPr>
      <w:r>
        <w:rPr>
          <w:b/>
          <w:bCs/>
        </w:rPr>
        <w:t xml:space="preserve">Speed limiting</w:t>
      </w:r>
      <w:r>
        <w:t xml:space="preserve"> </w:t>
      </w:r>
      <w:r>
        <w:t xml:space="preserve">— Configurable maximum joint and Cartesian speeds</w:t>
      </w:r>
    </w:p>
    <w:p>
      <w:pPr>
        <w:pStyle w:val="Compact"/>
        <w:numPr>
          <w:ilvl w:val="0"/>
          <w:numId w:val="1005"/>
        </w:numPr>
      </w:pPr>
      <w:r>
        <w:rPr>
          <w:b/>
          <w:bCs/>
        </w:rPr>
        <w:t xml:space="preserve">Collision detection</w:t>
      </w:r>
      <w:r>
        <w:t xml:space="preserve"> </w:t>
      </w:r>
      <w:r>
        <w:t xml:space="preserve">— Current monitoring and anomaly detection</w:t>
      </w:r>
    </w:p>
    <w:p>
      <w:pPr>
        <w:pStyle w:val="Compact"/>
        <w:numPr>
          <w:ilvl w:val="0"/>
          <w:numId w:val="1005"/>
        </w:numPr>
      </w:pPr>
      <w:r>
        <w:rPr>
          <w:b/>
          <w:bCs/>
        </w:rPr>
        <w:t xml:space="preserve">Laser safety scanners</w:t>
      </w:r>
      <w:r>
        <w:t xml:space="preserve"> </w:t>
      </w:r>
      <w:r>
        <w:t xml:space="preserve">— For public demonstrations (used safety-rated scanners: $500–$1,500)</w:t>
      </w:r>
    </w:p>
    <w:p>
      <w:pPr>
        <w:pStyle w:val="Compact"/>
        <w:numPr>
          <w:ilvl w:val="0"/>
          <w:numId w:val="1005"/>
        </w:numPr>
      </w:pPr>
      <w:r>
        <w:rPr>
          <w:b/>
          <w:bCs/>
        </w:rPr>
        <w:t xml:space="preserve">Insurance</w:t>
      </w:r>
      <w:r>
        <w:t xml:space="preserve"> </w:t>
      </w:r>
      <w:r>
        <w:t xml:space="preserve">— Product liability insurance for deployed robots</w:t>
      </w:r>
    </w:p>
    <w:p>
      <w:pPr>
        <w:pStyle w:val="FirstParagraph"/>
      </w:pPr>
      <w:r>
        <w:rPr>
          <w:b/>
          <w:bCs/>
        </w:rPr>
        <w:t xml:space="preserve">Early units should go into schools before factories.</w:t>
      </w:r>
      <w:r>
        <w:t xml:space="preserve"> </w:t>
      </w:r>
      <w:r>
        <w:t xml:space="preserve">Schools provide a controlled environment where students learn under supervision, and any issues are contained within an educational setting. This gives CGG time to refine safety systems before commercial deployment.</w:t>
      </w:r>
    </w:p>
    <w:bookmarkEnd w:id="42"/>
    <w:bookmarkEnd w:id="43"/>
    <w:bookmarkStart w:id="47" w:name="financial-projection-two-year-budget"/>
    <w:p>
      <w:pPr>
        <w:pStyle w:val="2"/>
      </w:pPr>
      <w:r>
        <w:t xml:space="preserve">8. Financial Projection: Two-Year Budget</w:t>
      </w:r>
    </w:p>
    <w:bookmarkStart w:id="44" w:name="hardware-bill-of-materials-cash-outlay"/>
    <w:p>
      <w:pPr>
        <w:pStyle w:val="3"/>
      </w:pPr>
      <w:r>
        <w:t xml:space="preserve">8.1 Hardware Bill of Materials (Cash Outlay)</w:t>
      </w:r>
    </w:p>
    <w:tbl>
      <w:tblPr>
        <w:tblStyle w:val="Table"/>
        <w:tblW w:type="pct" w:w="5000"/>
        <w:jc w:val="left"/>
        <w:tblLayout w:type="fixed"/>
        <w:tblLook w:firstRow="1" w:lastRow="0" w:firstColumn="0" w:lastColumn="0" w:noHBand="0" w:noVBand="0" w:val="0020"/>
      </w:tblPr>
      <w:tblGrid>
        <w:gridCol w:w="1788"/>
        <w:gridCol w:w="1532"/>
        <w:gridCol w:w="2810"/>
        <w:gridCol w:w="1788"/>
      </w:tblGrid>
      <w:tr>
        <w:trPr>
          <w:tblHeader w:val="on"/>
        </w:trPr>
        <w:tc>
          <w:tcPr/>
          <w:p>
            <w:pPr>
              <w:pStyle w:val="Compact"/>
              <w:jc w:val="left"/>
            </w:pPr>
            <w:r>
              <w:t xml:space="preserve">Phase</w:t>
            </w:r>
          </w:p>
        </w:tc>
        <w:tc>
          <w:tcPr/>
          <w:p>
            <w:pPr>
              <w:pStyle w:val="Compact"/>
              <w:jc w:val="left"/>
            </w:pPr>
            <w:r>
              <w:t xml:space="preserve">Item</w:t>
            </w:r>
          </w:p>
        </w:tc>
        <w:tc>
          <w:tcPr/>
          <w:p>
            <w:pPr>
              <w:pStyle w:val="Compact"/>
              <w:jc w:val="left"/>
            </w:pPr>
            <w:r>
              <w:t xml:space="preserve">Cost (USD)</w:t>
            </w:r>
          </w:p>
        </w:tc>
        <w:tc>
          <w:tcPr/>
          <w:p>
            <w:pPr>
              <w:pStyle w:val="Compact"/>
              <w:jc w:val="left"/>
            </w:pPr>
            <w:r>
              <w:t xml:space="preserve">Notes</w:t>
            </w:r>
          </w:p>
        </w:tc>
      </w:tr>
      <w:tr>
        <w:tc>
          <w:tcPr/>
          <w:p>
            <w:pPr>
              <w:pStyle w:val="Compact"/>
              <w:jc w:val="left"/>
            </w:pPr>
            <w:r>
              <w:rPr>
                <w:b/>
                <w:bCs/>
              </w:rPr>
              <w:t xml:space="preserve">Acquisition</w:t>
            </w:r>
          </w:p>
        </w:tc>
        <w:tc>
          <w:tcPr/>
          <w:p>
            <w:pPr>
              <w:pStyle w:val="Compact"/>
              <w:jc w:val="left"/>
            </w:pPr>
            <w:r>
              <w:t xml:space="preserve">3 robot arms (Yahoo Auctions Japan)</w:t>
            </w:r>
          </w:p>
        </w:tc>
        <w:tc>
          <w:tcPr/>
          <w:p>
            <w:pPr>
              <w:pStyle w:val="Compact"/>
              <w:jc w:val="left"/>
            </w:pPr>
            <w:r>
              <w:t xml:space="preserve">$420–$1,500</w:t>
            </w:r>
          </w:p>
        </w:tc>
        <w:tc>
          <w:tcPr/>
          <w:p>
            <w:pPr>
              <w:pStyle w:val="Compact"/>
              <w:jc w:val="left"/>
            </w:pPr>
            <w:r>
              <w:t xml:space="preserve">Individual auction prices; directional estimate</w:t>
            </w:r>
          </w:p>
        </w:tc>
      </w:tr>
      <w:tr>
        <w:tc>
          <w:tcPr/>
          <w:p>
            <w:pPr>
              <w:pStyle w:val="Compact"/>
            </w:pPr>
          </w:p>
        </w:tc>
        <w:tc>
          <w:tcPr/>
          <w:p>
            <w:pPr>
              <w:pStyle w:val="Compact"/>
              <w:jc w:val="left"/>
            </w:pPr>
            <w:r>
              <w:t xml:space="preserve">Crating (Japan)</w:t>
            </w:r>
          </w:p>
        </w:tc>
        <w:tc>
          <w:tcPr/>
          <w:p>
            <w:pPr>
              <w:pStyle w:val="Compact"/>
              <w:jc w:val="left"/>
            </w:pPr>
            <w:r>
              <w:t xml:space="preserve">$300–$600</w:t>
            </w:r>
          </w:p>
        </w:tc>
        <w:tc>
          <w:tcPr/>
          <w:p>
            <w:pPr>
              <w:pStyle w:val="Compact"/>
              <w:jc w:val="left"/>
            </w:pPr>
            <w:r>
              <w:t xml:space="preserve">Open to closed wooden export crate</w:t>
            </w:r>
          </w:p>
        </w:tc>
      </w:tr>
      <w:tr>
        <w:tc>
          <w:tcPr/>
          <w:p>
            <w:pPr>
              <w:pStyle w:val="Compact"/>
            </w:pPr>
          </w:p>
        </w:tc>
        <w:tc>
          <w:tcPr/>
          <w:p>
            <w:pPr>
              <w:pStyle w:val="Compact"/>
              <w:jc w:val="left"/>
            </w:pPr>
            <w:r>
              <w:t xml:space="preserve">Sea freight + customs (Japan → Manila)</w:t>
            </w:r>
          </w:p>
        </w:tc>
        <w:tc>
          <w:tcPr/>
          <w:p>
            <w:pPr>
              <w:pStyle w:val="Compact"/>
              <w:jc w:val="left"/>
            </w:pPr>
            <w:r>
              <w:t xml:space="preserve">$525–$1,100</w:t>
            </w:r>
          </w:p>
        </w:tc>
        <w:tc>
          <w:tcPr/>
          <w:p>
            <w:pPr>
              <w:pStyle w:val="Compact"/>
              <w:jc w:val="left"/>
            </w:pPr>
            <w:r>
              <w:t xml:space="preserve">LCL, 5–6 CBM total</w:t>
            </w:r>
          </w:p>
        </w:tc>
      </w:tr>
      <w:tr>
        <w:tc>
          <w:tcPr/>
          <w:p>
            <w:pPr>
              <w:pStyle w:val="Compact"/>
              <w:jc w:val="left"/>
            </w:pPr>
            <w:r>
              <w:rPr>
                <w:b/>
                <w:bCs/>
              </w:rPr>
              <w:t xml:space="preserve">Hardware Dev</w:t>
            </w:r>
          </w:p>
        </w:tc>
        <w:tc>
          <w:tcPr/>
          <w:p>
            <w:pPr>
              <w:pStyle w:val="Compact"/>
              <w:jc w:val="left"/>
            </w:pPr>
            <w:r>
              <w:t xml:space="preserve">Zynq development boards (3×)</w:t>
            </w:r>
          </w:p>
        </w:tc>
        <w:tc>
          <w:tcPr/>
          <w:p>
            <w:pPr>
              <w:pStyle w:val="Compact"/>
              <w:jc w:val="left"/>
            </w:pPr>
            <w:r>
              <w:t xml:space="preserve">$600–$900</w:t>
            </w:r>
          </w:p>
        </w:tc>
        <w:tc>
          <w:tcPr/>
          <w:p>
            <w:pPr>
              <w:pStyle w:val="Compact"/>
              <w:jc w:val="left"/>
            </w:pPr>
            <w:r>
              <w:t xml:space="preserve">Zybo Z7-20 @ $299 each</w:t>
            </w:r>
          </w:p>
        </w:tc>
      </w:tr>
      <w:tr>
        <w:tc>
          <w:tcPr/>
          <w:p>
            <w:pPr>
              <w:pStyle w:val="Compact"/>
            </w:pPr>
          </w:p>
        </w:tc>
        <w:tc>
          <w:tcPr/>
          <w:p>
            <w:pPr>
              <w:pStyle w:val="Compact"/>
              <w:jc w:val="left"/>
            </w:pPr>
            <w:r>
              <w:t xml:space="preserve">STMBL servo drives (18 axes)</w:t>
            </w:r>
          </w:p>
        </w:tc>
        <w:tc>
          <w:tcPr/>
          <w:p>
            <w:pPr>
              <w:pStyle w:val="Compact"/>
              <w:jc w:val="left"/>
            </w:pPr>
            <w:r>
              <w:t xml:space="preserve">$900–$2,700</w:t>
            </w:r>
          </w:p>
        </w:tc>
        <w:tc>
          <w:tcPr/>
          <w:p>
            <w:pPr>
              <w:pStyle w:val="Compact"/>
              <w:jc w:val="left"/>
            </w:pPr>
            <w:r>
              <w:t xml:space="preserve">$50–$150 per axis, DIY</w:t>
            </w:r>
          </w:p>
        </w:tc>
      </w:tr>
      <w:tr>
        <w:tc>
          <w:tcPr/>
          <w:p>
            <w:pPr>
              <w:pStyle w:val="Compact"/>
            </w:pPr>
          </w:p>
        </w:tc>
        <w:tc>
          <w:tcPr/>
          <w:p>
            <w:pPr>
              <w:pStyle w:val="Compact"/>
              <w:jc w:val="left"/>
            </w:pPr>
            <w:r>
              <w:t xml:space="preserve">PCB fabrication (JLCPCB)</w:t>
            </w:r>
          </w:p>
        </w:tc>
        <w:tc>
          <w:tcPr/>
          <w:p>
            <w:pPr>
              <w:pStyle w:val="Compact"/>
              <w:jc w:val="left"/>
            </w:pPr>
            <w:r>
              <w:t xml:space="preserve">$200–$500</w:t>
            </w:r>
          </w:p>
        </w:tc>
        <w:tc>
          <w:tcPr/>
          <w:p>
            <w:pPr>
              <w:pStyle w:val="Compact"/>
              <w:jc w:val="left"/>
            </w:pPr>
            <w:r>
              <w:t xml:space="preserve">Multiple iterations</w:t>
            </w:r>
          </w:p>
        </w:tc>
      </w:tr>
      <w:tr>
        <w:tc>
          <w:tcPr/>
          <w:p>
            <w:pPr>
              <w:pStyle w:val="Compact"/>
            </w:pPr>
          </w:p>
        </w:tc>
        <w:tc>
          <w:tcPr/>
          <w:p>
            <w:pPr>
              <w:pStyle w:val="Compact"/>
              <w:jc w:val="left"/>
            </w:pPr>
            <w:r>
              <w:t xml:space="preserve">Power supplies, electrical, safety</w:t>
            </w:r>
          </w:p>
        </w:tc>
        <w:tc>
          <w:tcPr/>
          <w:p>
            <w:pPr>
              <w:pStyle w:val="Compact"/>
              <w:jc w:val="left"/>
            </w:pPr>
            <w:r>
              <w:t xml:space="preserve">$600–$1,200</w:t>
            </w:r>
          </w:p>
        </w:tc>
        <w:tc>
          <w:tcPr/>
          <w:p>
            <w:pPr>
              <w:pStyle w:val="Compact"/>
              <w:jc w:val="left"/>
            </w:pPr>
            <w:r>
              <w:t xml:space="preserve">Bench supplies, relays, e-stop</w:t>
            </w:r>
          </w:p>
        </w:tc>
      </w:tr>
      <w:tr>
        <w:tc>
          <w:tcPr/>
          <w:p>
            <w:pPr>
              <w:pStyle w:val="Compact"/>
            </w:pPr>
          </w:p>
        </w:tc>
        <w:tc>
          <w:tcPr/>
          <w:p>
            <w:pPr>
              <w:pStyle w:val="Compact"/>
              <w:jc w:val="left"/>
            </w:pPr>
            <w:r>
              <w:t xml:space="preserve">Test equipment (scope, logic analyzer)</w:t>
            </w:r>
          </w:p>
        </w:tc>
        <w:tc>
          <w:tcPr/>
          <w:p>
            <w:pPr>
              <w:pStyle w:val="Compact"/>
              <w:jc w:val="left"/>
            </w:pPr>
            <w:r>
              <w:t xml:space="preserve">$300–$800</w:t>
            </w:r>
          </w:p>
        </w:tc>
        <w:tc>
          <w:tcPr/>
          <w:p>
            <w:pPr>
              <w:pStyle w:val="Compact"/>
              <w:jc w:val="left"/>
            </w:pPr>
            <w:r>
              <w:t xml:space="preserve">Essential for reverse-engineering</w:t>
            </w:r>
          </w:p>
        </w:tc>
      </w:tr>
      <w:tr>
        <w:tc>
          <w:tcPr/>
          <w:p>
            <w:pPr>
              <w:pStyle w:val="Compact"/>
              <w:jc w:val="left"/>
            </w:pPr>
            <w:r>
              <w:rPr>
                <w:b/>
                <w:bCs/>
              </w:rPr>
              <w:t xml:space="preserve">Software Dev</w:t>
            </w:r>
          </w:p>
        </w:tc>
        <w:tc>
          <w:tcPr/>
          <w:p>
            <w:pPr>
              <w:pStyle w:val="Compact"/>
              <w:jc w:val="left"/>
            </w:pPr>
            <w:r>
              <w:t xml:space="preserve">Workstations, GPUs for LeRobot</w:t>
            </w:r>
          </w:p>
        </w:tc>
        <w:tc>
          <w:tcPr/>
          <w:p>
            <w:pPr>
              <w:pStyle w:val="Compact"/>
              <w:jc w:val="left"/>
            </w:pPr>
            <w:r>
              <w:t xml:space="preserve">$1,000–$2,000</w:t>
            </w:r>
          </w:p>
        </w:tc>
        <w:tc>
          <w:tcPr/>
          <w:p>
            <w:pPr>
              <w:pStyle w:val="Compact"/>
              <w:jc w:val="left"/>
            </w:pPr>
            <w:r>
              <w:t xml:space="preserve">RTX 4060/4070 class</w:t>
            </w:r>
          </w:p>
        </w:tc>
      </w:tr>
      <w:tr>
        <w:tc>
          <w:tcPr/>
          <w:p>
            <w:pPr>
              <w:pStyle w:val="Compact"/>
            </w:pPr>
          </w:p>
        </w:tc>
        <w:tc>
          <w:tcPr/>
          <w:p>
            <w:pPr>
              <w:pStyle w:val="Compact"/>
              <w:jc w:val="left"/>
            </w:pPr>
            <w:r>
              <w:t xml:space="preserve">Cloud compute (optional)</w:t>
            </w:r>
          </w:p>
        </w:tc>
        <w:tc>
          <w:tcPr/>
          <w:p>
            <w:pPr>
              <w:pStyle w:val="Compact"/>
              <w:jc w:val="left"/>
            </w:pPr>
            <w:r>
              <w:t xml:space="preserve">$200–$500</w:t>
            </w:r>
          </w:p>
        </w:tc>
        <w:tc>
          <w:tcPr/>
          <w:p>
            <w:pPr>
              <w:pStyle w:val="Compact"/>
              <w:jc w:val="left"/>
            </w:pPr>
            <w:r>
              <w:t xml:space="preserve">For large-scale training</w:t>
            </w:r>
          </w:p>
        </w:tc>
      </w:tr>
      <w:tr>
        <w:tc>
          <w:tcPr/>
          <w:p>
            <w:pPr>
              <w:pStyle w:val="Compact"/>
              <w:jc w:val="left"/>
            </w:pPr>
            <w:r>
              <w:rPr>
                <w:b/>
                <w:bCs/>
              </w:rPr>
              <w:t xml:space="preserve">Mechanical</w:t>
            </w:r>
          </w:p>
        </w:tc>
        <w:tc>
          <w:tcPr/>
          <w:p>
            <w:pPr>
              <w:pStyle w:val="Compact"/>
              <w:jc w:val="left"/>
            </w:pPr>
            <w:r>
              <w:t xml:space="preserve">CSC immediate tooling/materials</w:t>
            </w:r>
          </w:p>
        </w:tc>
        <w:tc>
          <w:tcPr/>
          <w:p>
            <w:pPr>
              <w:pStyle w:val="Compact"/>
              <w:jc w:val="left"/>
            </w:pPr>
            <w:r>
              <w:t xml:space="preserve">$500–$1,000</w:t>
            </w:r>
          </w:p>
        </w:tc>
        <w:tc>
          <w:tcPr/>
          <w:p>
            <w:pPr>
              <w:pStyle w:val="Compact"/>
              <w:jc w:val="left"/>
            </w:pPr>
            <w:r>
              <w:t xml:space="preserve">Mounts, paint, bearings</w:t>
            </w:r>
          </w:p>
        </w:tc>
      </w:tr>
      <w:tr>
        <w:tc>
          <w:tcPr/>
          <w:p>
            <w:pPr>
              <w:pStyle w:val="Compact"/>
              <w:jc w:val="left"/>
            </w:pPr>
            <w:r>
              <w:rPr>
                <w:b/>
                <w:bCs/>
              </w:rPr>
              <w:t xml:space="preserve">Operations</w:t>
            </w:r>
          </w:p>
        </w:tc>
        <w:tc>
          <w:tcPr/>
          <w:p>
            <w:pPr>
              <w:pStyle w:val="Compact"/>
              <w:jc w:val="left"/>
            </w:pPr>
            <w:r>
              <w:t xml:space="preserve">Partner school coordination</w:t>
            </w:r>
          </w:p>
        </w:tc>
        <w:tc>
          <w:tcPr/>
          <w:p>
            <w:pPr>
              <w:pStyle w:val="Compact"/>
              <w:jc w:val="left"/>
            </w:pPr>
            <w:r>
              <w:t xml:space="preserve">$200–$500</w:t>
            </w:r>
          </w:p>
        </w:tc>
        <w:tc>
          <w:tcPr/>
          <w:p>
            <w:pPr>
              <w:pStyle w:val="Compact"/>
              <w:jc w:val="left"/>
            </w:pPr>
            <w:r>
              <w:t xml:space="preserve">Materials, travel</w:t>
            </w:r>
          </w:p>
        </w:tc>
      </w:tr>
      <w:tr>
        <w:tc>
          <w:tcPr/>
          <w:p>
            <w:pPr>
              <w:pStyle w:val="Compact"/>
              <w:jc w:val="left"/>
            </w:pPr>
            <w:r>
              <w:rPr>
                <w:b/>
                <w:bCs/>
              </w:rPr>
              <w:t xml:space="preserve">HARDWARE BOM TOTAL</w:t>
            </w:r>
          </w:p>
        </w:tc>
        <w:tc>
          <w:tcPr/>
          <w:p>
            <w:pPr>
              <w:pStyle w:val="Compact"/>
            </w:pPr>
          </w:p>
        </w:tc>
        <w:tc>
          <w:tcPr/>
          <w:p>
            <w:pPr>
              <w:pStyle w:val="Compact"/>
              <w:jc w:val="left"/>
            </w:pPr>
            <w:r>
              <w:rPr>
                <w:b/>
                <w:bCs/>
              </w:rPr>
              <w:t xml:space="preserve">$5,775–$12,300</w:t>
            </w:r>
          </w:p>
        </w:tc>
        <w:tc>
          <w:tcPr/>
          <w:p>
            <w:pPr>
              <w:pStyle w:val="Compact"/>
            </w:pPr>
          </w:p>
        </w:tc>
      </w:tr>
    </w:tbl>
    <w:bookmarkEnd w:id="44"/>
    <w:bookmarkStart w:id="45" w:name="X12dc213346ac78066b28c277cad168ae004902b"/>
    <w:p>
      <w:pPr>
        <w:pStyle w:val="3"/>
      </w:pPr>
      <w:r>
        <w:t xml:space="preserve">8.2 Costs Not in the Hardware BOM (Critical Callouts)</w:t>
      </w:r>
    </w:p>
    <w:p>
      <w:pPr>
        <w:pStyle w:val="FirstParagraph"/>
      </w:pPr>
      <w:r>
        <w:t xml:space="preserve">The hardware BOM above is a defensible bill-of-materials for three robots’ worth of components. However,</w:t>
      </w:r>
      <w:r>
        <w:t xml:space="preserve"> </w:t>
      </w:r>
      <w:r>
        <w:rPr>
          <w:b/>
          <w:bCs/>
        </w:rPr>
        <w:t xml:space="preserve">two large costs are deliberately excluded</w:t>
      </w:r>
      <w:r>
        <w:t xml:space="preserve"> </w:t>
      </w:r>
      <w:r>
        <w:t xml:space="preserve">because they are not cash outlays in the same sense — but they represent the real investment CGG is making:</w:t>
      </w:r>
    </w:p>
    <w:tbl>
      <w:tblPr>
        <w:tblStyle w:val="Table"/>
        <w:tblW w:type="pct" w:w="5000"/>
        <w:jc w:val="left"/>
        <w:tblLayout w:type="fixed"/>
        <w:tblLook w:firstRow="1" w:lastRow="0" w:firstColumn="0" w:lastColumn="0" w:noHBand="0" w:noVBand="0" w:val="0020"/>
      </w:tblPr>
      <w:tblGrid>
        <w:gridCol w:w="3576"/>
        <w:gridCol w:w="2554"/>
        <w:gridCol w:w="1788"/>
      </w:tblGrid>
      <w:tr>
        <w:trPr>
          <w:tblHeader w:val="on"/>
        </w:trPr>
        <w:tc>
          <w:tcPr/>
          <w:p>
            <w:pPr>
              <w:pStyle w:val="Compact"/>
              <w:jc w:val="left"/>
            </w:pPr>
            <w:r>
              <w:t xml:space="preserve">Cost Category</w:t>
            </w:r>
          </w:p>
        </w:tc>
        <w:tc>
          <w:tcPr/>
          <w:p>
            <w:pPr>
              <w:pStyle w:val="Compact"/>
              <w:jc w:val="left"/>
            </w:pPr>
            <w:r>
              <w:t xml:space="preserve">Estimate</w:t>
            </w:r>
          </w:p>
        </w:tc>
        <w:tc>
          <w:tcPr/>
          <w:p>
            <w:pPr>
              <w:pStyle w:val="Compact"/>
              <w:jc w:val="left"/>
            </w:pPr>
            <w:r>
              <w:t xml:space="preserve">Notes</w:t>
            </w:r>
          </w:p>
        </w:tc>
      </w:tr>
      <w:tr>
        <w:tc>
          <w:tcPr/>
          <w:p>
            <w:pPr>
              <w:pStyle w:val="Compact"/>
              <w:jc w:val="left"/>
            </w:pPr>
            <w:r>
              <w:rPr>
                <w:b/>
                <w:bCs/>
              </w:rPr>
              <w:t xml:space="preserve">Labor (2 ECE engineers, 1 software developer)</w:t>
            </w:r>
          </w:p>
        </w:tc>
        <w:tc>
          <w:tcPr/>
          <w:p>
            <w:pPr>
              <w:pStyle w:val="Compact"/>
              <w:jc w:val="left"/>
            </w:pPr>
            <w:r>
              <w:rPr>
                <w:b/>
                <w:bCs/>
              </w:rPr>
              <w:t xml:space="preserve">$80,000–$150,000 over 2 years</w:t>
            </w:r>
          </w:p>
        </w:tc>
        <w:tc>
          <w:tcPr/>
          <w:p>
            <w:pPr>
              <w:pStyle w:val="Compact"/>
              <w:jc w:val="left"/>
            </w:pPr>
            <w:r>
              <w:t xml:space="preserve">Fully-loaded cost of three skilled engineers. The report lists this as</w:t>
            </w:r>
            <w:r>
              <w:t xml:space="preserve"> </w:t>
            </w:r>
            <w:r>
              <w:t xml:space="preserve">“</w:t>
            </w:r>
            <w:r>
              <w:t xml:space="preserve">(Internal)</w:t>
            </w:r>
            <w:r>
              <w:t xml:space="preserve">”</w:t>
            </w:r>
            <w:r>
              <w:t xml:space="preserve"> </w:t>
            </w:r>
            <w:r>
              <w:t xml:space="preserve">because it is existing headcount, not new hires — but it is the largest cost by far. Over two years, labor will almost certainly exceed the entire hardware budget by an order of magnitude. This is not a criticism of doing the project; it is simply an honest accounting of what the company is committing. If this budget is presented upward as</w:t>
            </w:r>
            <w:r>
              <w:t xml:space="preserve"> </w:t>
            </w:r>
            <w:r>
              <w:t xml:space="preserve">“</w:t>
            </w:r>
            <w:r>
              <w:t xml:space="preserve">the investment is ₱330k–₱715k,</w:t>
            </w:r>
            <w:r>
              <w:t xml:space="preserve">”</w:t>
            </w:r>
            <w:r>
              <w:t xml:space="preserve"> </w:t>
            </w:r>
            <w:r>
              <w:t xml:space="preserve">that significantly understates the actual resource commitment.</w:t>
            </w:r>
          </w:p>
        </w:tc>
      </w:tr>
      <w:tr>
        <w:tc>
          <w:tcPr/>
          <w:p>
            <w:pPr>
              <w:pStyle w:val="Compact"/>
              <w:jc w:val="left"/>
            </w:pPr>
            <w:r>
              <w:rPr>
                <w:b/>
                <w:bCs/>
              </w:rPr>
              <w:t xml:space="preserve">Cornersteel Systems capex (milling, laser, press brake)</w:t>
            </w:r>
          </w:p>
        </w:tc>
        <w:tc>
          <w:tcPr/>
          <w:p>
            <w:pPr>
              <w:pStyle w:val="Compact"/>
              <w:jc w:val="left"/>
            </w:pPr>
            <w:r>
              <w:rPr>
                <w:b/>
                <w:bCs/>
              </w:rPr>
              <w:t xml:space="preserve">₱5M–₱20M+</w:t>
            </w:r>
          </w:p>
        </w:tc>
        <w:tc>
          <w:tcPr/>
          <w:p>
            <w:pPr>
              <w:pStyle w:val="Compact"/>
              <w:jc w:val="left"/>
            </w:pPr>
            <w:r>
              <w:t xml:space="preserve">Industrial-grade milling machines, laser cutters, and press brakes are multi-million-peso capital acquisitions. The report frames this as something CSC</w:t>
            </w:r>
            <w:r>
              <w:t xml:space="preserve"> </w:t>
            </w:r>
            <w:r>
              <w:t xml:space="preserve">“</w:t>
            </w:r>
            <w:r>
              <w:t xml:space="preserve">can build later on,</w:t>
            </w:r>
            <w:r>
              <w:t xml:space="preserve">”</w:t>
            </w:r>
            <w:r>
              <w:t xml:space="preserve"> </w:t>
            </w:r>
            <w:r>
              <w:t xml:space="preserve">which is accurate — but it is</w:t>
            </w:r>
            <w:r>
              <w:t xml:space="preserve"> </w:t>
            </w:r>
            <w:r>
              <w:rPr>
                <w:b/>
                <w:bCs/>
              </w:rPr>
              <w:t xml:space="preserve">not part of the two-year hardware budget</w:t>
            </w:r>
            <w:r>
              <w:t xml:space="preserve"> </w:t>
            </w:r>
            <w:r>
              <w:t xml:space="preserve">and should be planned as a separate capex approval if and when CSC moves in this direction.</w:t>
            </w:r>
          </w:p>
        </w:tc>
      </w:tr>
    </w:tbl>
    <w:p>
      <w:pPr>
        <w:pStyle w:val="a0"/>
      </w:pPr>
      <w:r>
        <w:rPr>
          <w:b/>
          <w:bCs/>
        </w:rPr>
        <w:t xml:space="preserve">Honest framing for internal budget discussions:</w:t>
      </w:r>
      <w:r>
        <w:t xml:space="preserve"> </w:t>
      </w:r>
      <w:r>
        <w:t xml:space="preserve">“</w:t>
      </w:r>
      <w:r>
        <w:t xml:space="preserve">The cash outlay for hardware, shipping, and components over two years is approximately ₱330k–₱715k. The real investment is approximately two years of skilled engineering time from three existing staff members, plus a longer-term capital commitment at CSC if we pursue in-house fabrication. The payoff is not three cheap robots — it is a</w:t>
      </w:r>
      <w:r>
        <w:t xml:space="preserve"> </w:t>
      </w:r>
      <w:r>
        <w:rPr>
          <w:b/>
          <w:bCs/>
        </w:rPr>
        <w:t xml:space="preserve">capability and IP base built at low capital risk</w:t>
      </w:r>
      <w:r>
        <w:t xml:space="preserve">, which positions us to approach the commercial value of refurbished systems over time as our compatibility matrix matures.</w:t>
      </w:r>
      <w:r>
        <w:t xml:space="preserve">”</w:t>
      </w:r>
    </w:p>
    <w:bookmarkEnd w:id="45"/>
    <w:bookmarkStart w:id="46" w:name="value-comparison-honest-reframing"/>
    <w:p>
      <w:pPr>
        <w:pStyle w:val="3"/>
      </w:pPr>
      <w:r>
        <w:t xml:space="preserve">8.3 Value Comparison: Honest Reframing</w:t>
      </w:r>
    </w:p>
    <w:p>
      <w:pPr>
        <w:pStyle w:val="FirstParagraph"/>
      </w:pPr>
      <w:r>
        <w:t xml:space="preserve">The first version of this report drew a comparison between CGG’s ~₱330k–₱715k hardware cost and the ₱930k–₱2.3M cost of a single commercially refurbished robot.</w:t>
      </w:r>
      <w:r>
        <w:t xml:space="preserve"> </w:t>
      </w:r>
      <w:r>
        <w:rPr>
          <w:b/>
          <w:bCs/>
        </w:rPr>
        <w:t xml:space="preserve">This comparison is a false equivalence</w:t>
      </w:r>
      <w:r>
        <w:t xml:space="preserve"> </w:t>
      </w:r>
      <w:r>
        <w:t xml:space="preserve">and has been removed.</w:t>
      </w:r>
    </w:p>
    <w:p>
      <w:pPr>
        <w:pStyle w:val="a0"/>
      </w:pPr>
      <w:r>
        <w:t xml:space="preserve">The ₱330k–₱715k gets CGG three</w:t>
      </w:r>
      <w:r>
        <w:t xml:space="preserve"> </w:t>
      </w:r>
      <w:r>
        <w:rPr>
          <w:b/>
          <w:bCs/>
        </w:rPr>
        <w:t xml:space="preserve">uncertified, no-warranty prototype platforms</w:t>
      </w:r>
      <w:r>
        <w:t xml:space="preserve"> </w:t>
      </w:r>
      <w:r>
        <w:t xml:space="preserve">plus the reverse-engineering knowledge to build more. A commercially refurbished, warrantied robot system at ₱930k–₱2.3M</w:t>
      </w:r>
      <w:r>
        <w:t xml:space="preserve"> </w:t>
      </w:r>
      <w:r>
        <w:rPr>
          <w:i/>
          <w:iCs/>
        </w:rPr>
        <w:t xml:space="preserve">each</w:t>
      </w:r>
      <w:r>
        <w:t xml:space="preserve"> </w:t>
      </w:r>
      <w:r>
        <w:t xml:space="preserve">(₱2.8M–7M for three) is a different product — production-ready with liability sitting on the seller. The first three CGG units are</w:t>
      </w:r>
      <w:r>
        <w:t xml:space="preserve"> </w:t>
      </w:r>
      <w:r>
        <w:rPr>
          <w:b/>
          <w:bCs/>
        </w:rPr>
        <w:t xml:space="preserve">not a substitute</w:t>
      </w:r>
      <w:r>
        <w:t xml:space="preserve"> </w:t>
      </w:r>
      <w:r>
        <w:t xml:space="preserve">for commercially refurbished systems.</w:t>
      </w:r>
    </w:p>
    <w:p>
      <w:pPr>
        <w:pStyle w:val="a0"/>
      </w:pPr>
      <w:r>
        <w:t xml:space="preserve">The real value proposition is different:</w:t>
      </w:r>
      <w:r>
        <w:t xml:space="preserve"> </w:t>
      </w:r>
      <w:r>
        <w:rPr>
          <w:b/>
          <w:bCs/>
        </w:rPr>
        <w:t xml:space="preserve">for a hardware cash outlay of less than ₱1M, CGG builds a capability base</w:t>
      </w:r>
      <w:r>
        <w:t xml:space="preserve"> </w:t>
      </w:r>
      <w:r>
        <w:t xml:space="preserve">— documented encoder protocols, working servo drives, validated controller architectures, trained engineers, and a partner-school curriculum — that would cost millions to acquire through commercial channels and cannot be purchased at any price as a turnkey product. This capability then</w:t>
      </w:r>
      <w:r>
        <w:t xml:space="preserve"> </w:t>
      </w:r>
      <w:r>
        <w:rPr>
          <w:b/>
          <w:bCs/>
        </w:rPr>
        <w:t xml:space="preserve">enables future commercial offerings</w:t>
      </w:r>
      <w:r>
        <w:t xml:space="preserve"> </w:t>
      </w:r>
      <w:r>
        <w:t xml:space="preserve">at a fraction of the market rate, but only after the two-year development period.</w:t>
      </w:r>
    </w:p>
    <w:bookmarkEnd w:id="46"/>
    <w:bookmarkEnd w:id="47"/>
    <w:bookmarkStart w:id="48" w:name="immediate-action-items"/>
    <w:p>
      <w:pPr>
        <w:pStyle w:val="2"/>
      </w:pPr>
      <w:r>
        <w:t xml:space="preserve">9. Immediate Action Items</w:t>
      </w:r>
    </w:p>
    <w:tbl>
      <w:tblPr>
        <w:tblStyle w:val="Table"/>
        <w:tblW w:type="pct" w:w="5000"/>
        <w:jc w:val="left"/>
        <w:tblLayout w:type="fixed"/>
        <w:tblLook w:firstRow="1" w:lastRow="0" w:firstColumn="0" w:lastColumn="0" w:noHBand="0" w:noVBand="0" w:val="0020"/>
      </w:tblPr>
      <w:tblGrid>
        <w:gridCol w:w="1038"/>
        <w:gridCol w:w="908"/>
        <w:gridCol w:w="1298"/>
        <w:gridCol w:w="2207"/>
        <w:gridCol w:w="2466"/>
      </w:tblGrid>
      <w:tr>
        <w:trPr>
          <w:tblHeader w:val="on"/>
        </w:trPr>
        <w:tc>
          <w:tcPr/>
          <w:p>
            <w:pPr>
              <w:pStyle w:val="Compact"/>
              <w:jc w:val="left"/>
            </w:pPr>
            <w:r>
              <w:t xml:space="preserve">Action</w:t>
            </w:r>
          </w:p>
        </w:tc>
        <w:tc>
          <w:tcPr/>
          <w:p>
            <w:pPr>
              <w:pStyle w:val="Compact"/>
              <w:jc w:val="left"/>
            </w:pPr>
            <w:r>
              <w:t xml:space="preserve">Owner</w:t>
            </w:r>
          </w:p>
        </w:tc>
        <w:tc>
          <w:tcPr/>
          <w:p>
            <w:pPr>
              <w:pStyle w:val="Compact"/>
              <w:jc w:val="left"/>
            </w:pPr>
            <w:r>
              <w:t xml:space="preserve">Timeline</w:t>
            </w:r>
          </w:p>
        </w:tc>
        <w:tc>
          <w:tcPr/>
          <w:p>
            <w:pPr>
              <w:pStyle w:val="Compact"/>
              <w:jc w:val="left"/>
            </w:pPr>
            <w:r>
              <w:t xml:space="preserve">Contact/Resource</w:t>
            </w:r>
          </w:p>
        </w:tc>
        <w:tc>
          <w:tcPr/>
          <w:p>
            <w:pPr>
              <w:pStyle w:val="Compact"/>
              <w:jc w:val="left"/>
            </w:pPr>
            <w:r>
              <w:t xml:space="preserve">Verification Status</w:t>
            </w:r>
          </w:p>
        </w:tc>
      </w:tr>
      <w:tr>
        <w:tc>
          <w:tcPr/>
          <w:p>
            <w:pPr>
              <w:pStyle w:val="Compact"/>
              <w:jc w:val="left"/>
            </w:pPr>
            <w:r>
              <w:rPr>
                <w:b/>
                <w:bCs/>
              </w:rPr>
              <w:t xml:space="preserve">Browse Yahoo Auctions Japan</w:t>
            </w:r>
            <w:r>
              <w:t xml:space="preserve"> </w:t>
            </w:r>
            <w:r>
              <w:t xml:space="preserve">for target robot models</w:t>
            </w:r>
          </w:p>
        </w:tc>
        <w:tc>
          <w:tcPr/>
          <w:p>
            <w:pPr>
              <w:pStyle w:val="Compact"/>
              <w:jc w:val="left"/>
            </w:pPr>
            <w:r>
              <w:t xml:space="preserve">Japanese-speaking ECE staff</w:t>
            </w:r>
          </w:p>
        </w:tc>
        <w:tc>
          <w:tcPr/>
          <w:p>
            <w:pPr>
              <w:pStyle w:val="Compact"/>
              <w:jc w:val="left"/>
            </w:pPr>
            <w:r>
              <w:t xml:space="preserve">Week 1–2</w:t>
            </w:r>
          </w:p>
        </w:tc>
        <w:tc>
          <w:tcPr/>
          <w:p>
            <w:pPr>
              <w:pStyle w:val="Compact"/>
              <w:jc w:val="left"/>
            </w:pPr>
            <w:r>
              <w:t xml:space="preserve">auctions.yahoo.co.jp</w:t>
            </w:r>
          </w:p>
        </w:tc>
        <w:tc>
          <w:tcPr/>
          <w:p>
            <w:pPr>
              <w:pStyle w:val="Compact"/>
              <w:jc w:val="left"/>
            </w:pPr>
            <w:r>
              <w:t xml:space="preserve">✅ Platform confirmed</w:t>
            </w:r>
          </w:p>
        </w:tc>
      </w:tr>
      <w:tr>
        <w:tc>
          <w:tcPr/>
          <w:p>
            <w:pPr>
              <w:pStyle w:val="Compact"/>
              <w:jc w:val="left"/>
            </w:pPr>
            <w:r>
              <w:rPr>
                <w:b/>
                <w:bCs/>
              </w:rPr>
              <w:t xml:space="preserve">Contact Arigato Corporation</w:t>
            </w:r>
            <w:r>
              <w:t xml:space="preserve"> </w:t>
            </w:r>
            <w:r>
              <w:t xml:space="preserve">for quote + freight</w:t>
            </w:r>
          </w:p>
        </w:tc>
        <w:tc>
          <w:tcPr/>
          <w:p>
            <w:pPr>
              <w:pStyle w:val="Compact"/>
              <w:jc w:val="left"/>
            </w:pPr>
            <w:r>
              <w:t xml:space="preserve">Procurement</w:t>
            </w:r>
          </w:p>
        </w:tc>
        <w:tc>
          <w:tcPr/>
          <w:p>
            <w:pPr>
              <w:pStyle w:val="Compact"/>
              <w:jc w:val="left"/>
            </w:pPr>
            <w:r>
              <w:t xml:space="preserve">Week 1–2</w:t>
            </w:r>
          </w:p>
        </w:tc>
        <w:tc>
          <w:tcPr/>
          <w:p>
            <w:pPr>
              <w:pStyle w:val="Compact"/>
              <w:jc w:val="left"/>
            </w:pPr>
            <w:r>
              <w:t xml:space="preserve">WhatsApp: +81 80 4812 6989</w:t>
            </w:r>
          </w:p>
        </w:tc>
        <w:tc>
          <w:tcPr/>
          <w:p>
            <w:pPr>
              <w:pStyle w:val="Compact"/>
              <w:jc w:val="left"/>
            </w:pPr>
            <w:r>
              <w:t xml:space="preserve">⚠️ Verify contact before committing</w:t>
            </w:r>
          </w:p>
        </w:tc>
      </w:tr>
      <w:tr>
        <w:tc>
          <w:tcPr/>
          <w:p>
            <w:pPr>
              <w:pStyle w:val="Compact"/>
              <w:jc w:val="left"/>
            </w:pPr>
            <w:r>
              <w:rPr>
                <w:b/>
                <w:bCs/>
              </w:rPr>
              <w:t xml:space="preserve">Verify Mechatro Associates contact independently</w:t>
            </w:r>
          </w:p>
        </w:tc>
        <w:tc>
          <w:tcPr/>
          <w:p>
            <w:pPr>
              <w:pStyle w:val="Compact"/>
              <w:jc w:val="left"/>
            </w:pPr>
            <w:r>
              <w:t xml:space="preserve">Japanese-speaking ECE staff</w:t>
            </w:r>
          </w:p>
        </w:tc>
        <w:tc>
          <w:tcPr/>
          <w:p>
            <w:pPr>
              <w:pStyle w:val="Compact"/>
              <w:jc w:val="left"/>
            </w:pPr>
            <w:r>
              <w:t xml:space="preserve">Week 1</w:t>
            </w:r>
          </w:p>
        </w:tc>
        <w:tc>
          <w:tcPr/>
          <w:p>
            <w:pPr>
              <w:pStyle w:val="Compact"/>
              <w:jc w:val="left"/>
            </w:pPr>
            <w:r>
              <w:t xml:space="preserve">mec-as.co.jp or similar</w:t>
            </w:r>
          </w:p>
        </w:tc>
        <w:tc>
          <w:tcPr/>
          <w:p>
            <w:pPr>
              <w:pStyle w:val="Compact"/>
              <w:jc w:val="left"/>
            </w:pPr>
            <w:r>
              <w:t xml:space="preserve">🔴</w:t>
            </w:r>
            <w:r>
              <w:t xml:space="preserve"> </w:t>
            </w:r>
            <w:r>
              <w:rPr>
                <w:b/>
                <w:bCs/>
              </w:rPr>
              <w:t xml:space="preserve">Must verify before calling</w:t>
            </w:r>
          </w:p>
        </w:tc>
      </w:tr>
      <w:tr>
        <w:tc>
          <w:tcPr/>
          <w:p>
            <w:pPr>
              <w:pStyle w:val="Compact"/>
              <w:jc w:val="left"/>
            </w:pPr>
            <w:r>
              <w:rPr>
                <w:b/>
                <w:bCs/>
              </w:rPr>
              <w:t xml:space="preserve">Order Zybo Z7-20 development boards</w:t>
            </w:r>
          </w:p>
        </w:tc>
        <w:tc>
          <w:tcPr/>
          <w:p>
            <w:pPr>
              <w:pStyle w:val="Compact"/>
              <w:jc w:val="left"/>
            </w:pPr>
            <w:r>
              <w:t xml:space="preserve">ECE team</w:t>
            </w:r>
          </w:p>
        </w:tc>
        <w:tc>
          <w:tcPr/>
          <w:p>
            <w:pPr>
              <w:pStyle w:val="Compact"/>
              <w:jc w:val="left"/>
            </w:pPr>
            <w:r>
              <w:t xml:space="preserve">Week 2</w:t>
            </w:r>
          </w:p>
        </w:tc>
        <w:tc>
          <w:tcPr/>
          <w:p>
            <w:pPr>
              <w:pStyle w:val="Compact"/>
              <w:jc w:val="left"/>
            </w:pPr>
            <w:r>
              <w:t xml:space="preserve">digilent.com</w:t>
            </w:r>
          </w:p>
        </w:tc>
        <w:tc>
          <w:tcPr/>
          <w:p>
            <w:pPr>
              <w:pStyle w:val="Compact"/>
              <w:jc w:val="left"/>
            </w:pPr>
            <w:r>
              <w:t xml:space="preserve">✅ Product confirmed</w:t>
            </w:r>
          </w:p>
        </w:tc>
      </w:tr>
      <w:tr>
        <w:tc>
          <w:tcPr/>
          <w:p>
            <w:pPr>
              <w:pStyle w:val="Compact"/>
              <w:jc w:val="left"/>
            </w:pPr>
            <w:r>
              <w:rPr>
                <w:b/>
                <w:bCs/>
              </w:rPr>
              <w:t xml:space="preserve">Set up Godot development environment</w:t>
            </w:r>
          </w:p>
        </w:tc>
        <w:tc>
          <w:tcPr/>
          <w:p>
            <w:pPr>
              <w:pStyle w:val="Compact"/>
              <w:jc w:val="left"/>
            </w:pPr>
            <w:r>
              <w:t xml:space="preserve">Software team</w:t>
            </w:r>
          </w:p>
        </w:tc>
        <w:tc>
          <w:tcPr/>
          <w:p>
            <w:pPr>
              <w:pStyle w:val="Compact"/>
              <w:jc w:val="left"/>
            </w:pPr>
            <w:r>
              <w:t xml:space="preserve">Week 2–3</w:t>
            </w:r>
          </w:p>
        </w:tc>
        <w:tc>
          <w:tcPr/>
          <w:p>
            <w:pPr>
              <w:pStyle w:val="Compact"/>
              <w:jc w:val="left"/>
            </w:pPr>
            <w:r>
              <w:t xml:space="preserve">godotengine.org</w:t>
            </w:r>
          </w:p>
        </w:tc>
        <w:tc>
          <w:tcPr/>
          <w:p>
            <w:pPr>
              <w:pStyle w:val="Compact"/>
              <w:jc w:val="left"/>
            </w:pPr>
            <w:r>
              <w:t xml:space="preserve">✅ Platform confirmed</w:t>
            </w:r>
          </w:p>
        </w:tc>
      </w:tr>
      <w:tr>
        <w:tc>
          <w:tcPr/>
          <w:p>
            <w:pPr>
              <w:pStyle w:val="Compact"/>
              <w:jc w:val="left"/>
            </w:pPr>
            <w:r>
              <w:rPr>
                <w:b/>
                <w:bCs/>
              </w:rPr>
              <w:t xml:space="preserve">Install LeRobot and run tutorials</w:t>
            </w:r>
          </w:p>
        </w:tc>
        <w:tc>
          <w:tcPr/>
          <w:p>
            <w:pPr>
              <w:pStyle w:val="Compact"/>
              <w:jc w:val="left"/>
            </w:pPr>
            <w:r>
              <w:t xml:space="preserve">Software team</w:t>
            </w:r>
          </w:p>
        </w:tc>
        <w:tc>
          <w:tcPr/>
          <w:p>
            <w:pPr>
              <w:pStyle w:val="Compact"/>
              <w:jc w:val="left"/>
            </w:pPr>
            <w:r>
              <w:t xml:space="preserve">Week 2–3</w:t>
            </w:r>
          </w:p>
        </w:tc>
        <w:tc>
          <w:tcPr/>
          <w:p>
            <w:pPr>
              <w:pStyle w:val="Compact"/>
              <w:jc w:val="left"/>
            </w:pPr>
            <w:r>
              <w:t xml:space="preserve">huggingface.co/docs/lerobot</w:t>
            </w:r>
          </w:p>
        </w:tc>
        <w:tc>
          <w:tcPr/>
          <w:p>
            <w:pPr>
              <w:pStyle w:val="Compact"/>
              <w:jc w:val="left"/>
            </w:pPr>
            <w:r>
              <w:t xml:space="preserve">✅ Project confirmed</w:t>
            </w:r>
          </w:p>
        </w:tc>
      </w:tr>
      <w:tr>
        <w:tc>
          <w:tcPr/>
          <w:p>
            <w:pPr>
              <w:pStyle w:val="Compact"/>
              <w:jc w:val="left"/>
            </w:pPr>
            <w:r>
              <w:rPr>
                <w:b/>
                <w:bCs/>
              </w:rPr>
              <w:t xml:space="preserve">Design first STMBL servo drive PCB</w:t>
            </w:r>
          </w:p>
        </w:tc>
        <w:tc>
          <w:tcPr/>
          <w:p>
            <w:pPr>
              <w:pStyle w:val="Compact"/>
              <w:jc w:val="left"/>
            </w:pPr>
            <w:r>
              <w:t xml:space="preserve">ECE team</w:t>
            </w:r>
          </w:p>
        </w:tc>
        <w:tc>
          <w:tcPr/>
          <w:p>
            <w:pPr>
              <w:pStyle w:val="Compact"/>
              <w:jc w:val="left"/>
            </w:pPr>
            <w:r>
              <w:t xml:space="preserve">Week 4–6</w:t>
            </w:r>
          </w:p>
        </w:tc>
        <w:tc>
          <w:tcPr/>
          <w:p>
            <w:pPr>
              <w:pStyle w:val="Compact"/>
              <w:jc w:val="left"/>
            </w:pPr>
            <w:r>
              <w:t xml:space="preserve">KiCad + JLCPCB</w:t>
            </w:r>
          </w:p>
        </w:tc>
        <w:tc>
          <w:tcPr/>
          <w:p>
            <w:pPr>
              <w:pStyle w:val="Compact"/>
              <w:jc w:val="left"/>
            </w:pPr>
            <w:r>
              <w:t xml:space="preserve">✅ Tools confirmed</w:t>
            </w:r>
          </w:p>
        </w:tc>
      </w:tr>
      <w:tr>
        <w:tc>
          <w:tcPr/>
          <w:p>
            <w:pPr>
              <w:pStyle w:val="Compact"/>
              <w:jc w:val="left"/>
            </w:pPr>
            <w:r>
              <w:rPr>
                <w:b/>
                <w:bCs/>
              </w:rPr>
              <w:t xml:space="preserve">Begin encoder reverse-engineering</w:t>
            </w:r>
            <w:r>
              <w:t xml:space="preserve"> </w:t>
            </w:r>
            <w:r>
              <w:t xml:space="preserve">on first robot</w:t>
            </w:r>
          </w:p>
        </w:tc>
        <w:tc>
          <w:tcPr/>
          <w:p>
            <w:pPr>
              <w:pStyle w:val="Compact"/>
              <w:jc w:val="left"/>
            </w:pPr>
            <w:r>
              <w:t xml:space="preserve">ECE team</w:t>
            </w:r>
          </w:p>
        </w:tc>
        <w:tc>
          <w:tcPr/>
          <w:p>
            <w:pPr>
              <w:pStyle w:val="Compact"/>
              <w:jc w:val="left"/>
            </w:pPr>
            <w:r>
              <w:t xml:space="preserve">Month 2–3</w:t>
            </w:r>
          </w:p>
        </w:tc>
        <w:tc>
          <w:tcPr/>
          <w:p>
            <w:pPr>
              <w:pStyle w:val="Compact"/>
              <w:jc w:val="left"/>
            </w:pPr>
            <w:r>
              <w:t xml:space="preserve">Oscilloscope + logic analyzer</w:t>
            </w:r>
          </w:p>
        </w:tc>
        <w:tc>
          <w:tcPr/>
          <w:p>
            <w:pPr>
              <w:pStyle w:val="Compact"/>
              <w:jc w:val="left"/>
            </w:pPr>
            <w:r>
              <w:t xml:space="preserve">⚠️ Budget extra time for resolvers</w:t>
            </w:r>
          </w:p>
        </w:tc>
      </w:tr>
      <w:tr>
        <w:tc>
          <w:tcPr/>
          <w:p>
            <w:pPr>
              <w:pStyle w:val="Compact"/>
              <w:jc w:val="left"/>
            </w:pPr>
            <w:r>
              <w:rPr>
                <w:b/>
                <w:bCs/>
              </w:rPr>
              <w:t xml:space="preserve">Build Godot digital twin</w:t>
            </w:r>
            <w:r>
              <w:t xml:space="preserve"> </w:t>
            </w:r>
            <w:r>
              <w:t xml:space="preserve">of first robot</w:t>
            </w:r>
          </w:p>
        </w:tc>
        <w:tc>
          <w:tcPr/>
          <w:p>
            <w:pPr>
              <w:pStyle w:val="Compact"/>
              <w:jc w:val="left"/>
            </w:pPr>
            <w:r>
              <w:t xml:space="preserve">Software team</w:t>
            </w:r>
          </w:p>
        </w:tc>
        <w:tc>
          <w:tcPr/>
          <w:p>
            <w:pPr>
              <w:pStyle w:val="Compact"/>
              <w:jc w:val="left"/>
            </w:pPr>
            <w:r>
              <w:t xml:space="preserve">Month 2–4</w:t>
            </w:r>
          </w:p>
        </w:tc>
        <w:tc>
          <w:tcPr/>
          <w:p>
            <w:pPr>
              <w:pStyle w:val="Compact"/>
              <w:jc w:val="left"/>
            </w:pPr>
            <w:r>
              <w:t xml:space="preserve">CAD models + DH parameters</w:t>
            </w:r>
          </w:p>
        </w:tc>
        <w:tc>
          <w:tcPr/>
          <w:p>
            <w:pPr>
              <w:pStyle w:val="Compact"/>
              <w:jc w:val="left"/>
            </w:pPr>
            <w:r>
              <w:t xml:space="preserve">⚠️ Learning curve; start simple</w:t>
            </w:r>
          </w:p>
        </w:tc>
      </w:tr>
      <w:tr>
        <w:tc>
          <w:tcPr/>
          <w:p>
            <w:pPr>
              <w:pStyle w:val="Compact"/>
              <w:jc w:val="left"/>
            </w:pPr>
            <w:r>
              <w:rPr>
                <w:b/>
                <w:bCs/>
              </w:rPr>
              <w:t xml:space="preserve">Partner school curriculum design</w:t>
            </w:r>
          </w:p>
        </w:tc>
        <w:tc>
          <w:tcPr/>
          <w:p>
            <w:pPr>
              <w:pStyle w:val="Compact"/>
              <w:jc w:val="left"/>
            </w:pPr>
            <w:r>
              <w:t xml:space="preserve">Education lead</w:t>
            </w:r>
          </w:p>
        </w:tc>
        <w:tc>
          <w:tcPr/>
          <w:p>
            <w:pPr>
              <w:pStyle w:val="Compact"/>
              <w:jc w:val="left"/>
            </w:pPr>
            <w:r>
              <w:t xml:space="preserve">Month 3–4</w:t>
            </w:r>
          </w:p>
        </w:tc>
        <w:tc>
          <w:tcPr/>
          <w:p>
            <w:pPr>
              <w:pStyle w:val="Compact"/>
              <w:jc w:val="left"/>
            </w:pPr>
            <w:r>
              <w:t xml:space="preserve">Partner schools</w:t>
            </w:r>
          </w:p>
        </w:tc>
        <w:tc>
          <w:tcPr/>
          <w:p>
            <w:pPr>
              <w:pStyle w:val="Compact"/>
              <w:jc w:val="left"/>
            </w:pPr>
            <w:r>
              <w:t xml:space="preserve">🟡 To be initiated</w:t>
            </w:r>
          </w:p>
        </w:tc>
      </w:tr>
    </w:tbl>
    <w:bookmarkEnd w:id="48"/>
    <w:bookmarkStart w:id="49" w:name="Xe7db97abe4eec545ce5d6c7a3d9a581d0c525c3"/>
    <w:p>
      <w:pPr>
        <w:pStyle w:val="2"/>
      </w:pPr>
      <w:r>
        <w:t xml:space="preserve">10. What Was Independently Verified — and What Wasn’t</w:t>
      </w:r>
    </w:p>
    <w:p>
      <w:pPr>
        <w:pStyle w:val="FirstParagraph"/>
      </w:pPr>
      <w:r>
        <w:t xml:space="preserve">This section exists because the first version of this report contained footnote markers (e.g., [</w:t>
      </w:r>
      <w:r>
        <w:rPr>
          <w:vertAlign w:val="superscript"/>
        </w:rPr>
        <w:t xml:space="preserve">129</w:t>
      </w:r>
      <w:r>
        <w:t xml:space="preserve">], [</w:t>
      </w:r>
      <w:r>
        <w:rPr>
          <w:vertAlign w:val="superscript"/>
        </w:rPr>
        <w:t xml:space="preserve">50</w:t>
      </w:r>
      <w:r>
        <w:t xml:space="preserve">]) styled to look like sourced claims, but those footnotes did not contain source text. The following table separates claims that have been independently checked from those that require further verification before action.</w:t>
      </w:r>
    </w:p>
    <w:tbl>
      <w:tblPr>
        <w:tblStyle w:val="Table"/>
        <w:tblW w:type="pct" w:w="5000"/>
        <w:jc w:val="left"/>
        <w:tblLayout w:type="fixed"/>
        <w:tblLook w:firstRow="1" w:lastRow="0" w:firstColumn="0" w:lastColumn="0" w:noHBand="0" w:noVBand="0" w:val="0020"/>
      </w:tblPr>
      <w:tblGrid>
        <w:gridCol w:w="2217"/>
        <w:gridCol w:w="2534"/>
        <w:gridCol w:w="3168"/>
      </w:tblGrid>
      <w:tr>
        <w:trPr>
          <w:tblHeader w:val="on"/>
        </w:trPr>
        <w:tc>
          <w:tcPr/>
          <w:p>
            <w:pPr>
              <w:pStyle w:val="Compact"/>
              <w:jc w:val="left"/>
            </w:pPr>
            <w:r>
              <w:t xml:space="preserve">Claim</w:t>
            </w:r>
          </w:p>
        </w:tc>
        <w:tc>
          <w:tcPr/>
          <w:p>
            <w:pPr>
              <w:pStyle w:val="Compact"/>
              <w:jc w:val="left"/>
            </w:pPr>
            <w:r>
              <w:t xml:space="preserve">Status</w:t>
            </w:r>
          </w:p>
        </w:tc>
        <w:tc>
          <w:tcPr/>
          <w:p>
            <w:pPr>
              <w:pStyle w:val="Compact"/>
              <w:jc w:val="left"/>
            </w:pPr>
            <w:r>
              <w:t xml:space="preserve">Evidence</w:t>
            </w:r>
          </w:p>
        </w:tc>
      </w:tr>
      <w:tr>
        <w:tc>
          <w:tcPr/>
          <w:p>
            <w:pPr>
              <w:pStyle w:val="Compact"/>
              <w:jc w:val="left"/>
            </w:pPr>
            <w:r>
              <w:rPr>
                <w:b/>
                <w:bCs/>
              </w:rPr>
              <w:t xml:space="preserve">STMBL / Rene Hopf</w:t>
            </w:r>
          </w:p>
        </w:tc>
        <w:tc>
          <w:tcPr/>
          <w:p>
            <w:pPr>
              <w:pStyle w:val="Compact"/>
              <w:jc w:val="left"/>
            </w:pPr>
            <w:r>
              <w:t xml:space="preserve">✅</w:t>
            </w:r>
            <w:r>
              <w:t xml:space="preserve"> </w:t>
            </w:r>
            <w:r>
              <w:rPr>
                <w:b/>
                <w:bCs/>
              </w:rPr>
              <w:t xml:space="preserve">Verified</w:t>
            </w:r>
          </w:p>
        </w:tc>
        <w:tc>
          <w:tcPr/>
          <w:p>
            <w:pPr>
              <w:pStyle w:val="Compact"/>
              <w:jc w:val="left"/>
            </w:pPr>
            <w:r>
              <w:t xml:space="preserve">GitHub repo (github.com/rene-dev/stmbl); LinuxCNC forum posts</w:t>
            </w:r>
          </w:p>
        </w:tc>
      </w:tr>
      <w:tr>
        <w:tc>
          <w:tcPr/>
          <w:p>
            <w:pPr>
              <w:pStyle w:val="Compact"/>
              <w:jc w:val="left"/>
            </w:pPr>
            <w:r>
              <w:rPr>
                <w:b/>
                <w:bCs/>
              </w:rPr>
              <w:t xml:space="preserve">freakontrol fork / Infineon IKCM30F60GD</w:t>
            </w:r>
          </w:p>
        </w:tc>
        <w:tc>
          <w:tcPr/>
          <w:p>
            <w:pPr>
              <w:pStyle w:val="Compact"/>
              <w:jc w:val="left"/>
            </w:pPr>
            <w:r>
              <w:t xml:space="preserve">✅</w:t>
            </w:r>
            <w:r>
              <w:t xml:space="preserve"> </w:t>
            </w:r>
            <w:r>
              <w:rPr>
                <w:b/>
                <w:bCs/>
              </w:rPr>
              <w:t xml:space="preserve">Verified</w:t>
            </w:r>
          </w:p>
        </w:tc>
        <w:tc>
          <w:tcPr/>
          <w:p>
            <w:pPr>
              <w:pStyle w:val="Compact"/>
              <w:jc w:val="left"/>
            </w:pPr>
            <w:r>
              <w:t xml:space="preserve">GitHub fork (github.com/freakontrol/stmbl); 60A peak rating confirmed</w:t>
            </w:r>
          </w:p>
        </w:tc>
      </w:tr>
      <w:tr>
        <w:tc>
          <w:tcPr/>
          <w:p>
            <w:pPr>
              <w:pStyle w:val="Compact"/>
              <w:jc w:val="left"/>
            </w:pPr>
            <w:r>
              <w:rPr>
                <w:b/>
                <w:bCs/>
              </w:rPr>
              <w:t xml:space="preserve">STMBL driving ABB IRB6400</w:t>
            </w:r>
          </w:p>
        </w:tc>
        <w:tc>
          <w:tcPr/>
          <w:p>
            <w:pPr>
              <w:pStyle w:val="Compact"/>
              <w:jc w:val="left"/>
            </w:pPr>
            <w:r>
              <w:t xml:space="preserve">✅</w:t>
            </w:r>
            <w:r>
              <w:t xml:space="preserve"> </w:t>
            </w:r>
            <w:r>
              <w:rPr>
                <w:b/>
                <w:bCs/>
              </w:rPr>
              <w:t xml:space="preserve">Verified</w:t>
            </w:r>
          </w:p>
        </w:tc>
        <w:tc>
          <w:tcPr/>
          <w:p>
            <w:pPr>
              <w:pStyle w:val="Compact"/>
              <w:jc w:val="left"/>
            </w:pPr>
            <w:r>
              <w:t xml:space="preserve">Maintainer’s own account on LinuxCNC forum</w:t>
            </w:r>
          </w:p>
        </w:tc>
      </w:tr>
      <w:tr>
        <w:tc>
          <w:tcPr/>
          <w:p>
            <w:pPr>
              <w:pStyle w:val="Compact"/>
              <w:jc w:val="left"/>
            </w:pPr>
            <w:r>
              <w:rPr>
                <w:b/>
                <w:bCs/>
              </w:rPr>
              <w:t xml:space="preserve">eSOL eXRP (Godot-based industrial 3D engine)</w:t>
            </w:r>
          </w:p>
        </w:tc>
        <w:tc>
          <w:tcPr/>
          <w:p>
            <w:pPr>
              <w:pStyle w:val="Compact"/>
              <w:jc w:val="left"/>
            </w:pPr>
            <w:r>
              <w:t xml:space="preserve">✅</w:t>
            </w:r>
            <w:r>
              <w:t xml:space="preserve"> </w:t>
            </w:r>
            <w:r>
              <w:rPr>
                <w:b/>
                <w:bCs/>
              </w:rPr>
              <w:t xml:space="preserve">Verified</w:t>
            </w:r>
          </w:p>
        </w:tc>
        <w:tc>
          <w:tcPr/>
          <w:p>
            <w:pPr>
              <w:pStyle w:val="Compact"/>
              <w:jc w:val="left"/>
            </w:pPr>
            <w:r>
              <w:t xml:space="preserve">eSOL press release; April 1, 2026 launch date confirmed</w:t>
            </w:r>
          </w:p>
        </w:tc>
      </w:tr>
      <w:tr>
        <w:tc>
          <w:tcPr/>
          <w:p>
            <w:pPr>
              <w:pStyle w:val="Compact"/>
              <w:jc w:val="left"/>
            </w:pPr>
            <w:r>
              <w:rPr>
                <w:b/>
                <w:bCs/>
              </w:rPr>
              <w:t xml:space="preserve">NVIDIA/Hugging Face LeRobot integration (GR00T 1.7, Teleop, Cosmos 3)</w:t>
            </w:r>
          </w:p>
        </w:tc>
        <w:tc>
          <w:tcPr/>
          <w:p>
            <w:pPr>
              <w:pStyle w:val="Compact"/>
              <w:jc w:val="left"/>
            </w:pPr>
            <w:r>
              <w:t xml:space="preserve">✅</w:t>
            </w:r>
            <w:r>
              <w:t xml:space="preserve"> </w:t>
            </w:r>
            <w:r>
              <w:rPr>
                <w:b/>
                <w:bCs/>
              </w:rPr>
              <w:t xml:space="preserve">Verified</w:t>
            </w:r>
          </w:p>
        </w:tc>
        <w:tc>
          <w:tcPr/>
          <w:p>
            <w:pPr>
              <w:pStyle w:val="Compact"/>
              <w:jc w:val="left"/>
            </w:pPr>
            <w:r>
              <w:t xml:space="preserve">Announcement dated July 7, 2026; independently confirmed</w:t>
            </w:r>
          </w:p>
        </w:tc>
      </w:tr>
      <w:tr>
        <w:tc>
          <w:tcPr/>
          <w:p>
            <w:pPr>
              <w:pStyle w:val="Compact"/>
              <w:jc w:val="left"/>
            </w:pPr>
            <w:r>
              <w:rPr>
                <w:b/>
                <w:bCs/>
              </w:rPr>
              <w:t xml:space="preserve">ExcessiveMotion Zynq-based controller</w:t>
            </w:r>
          </w:p>
        </w:tc>
        <w:tc>
          <w:tcPr/>
          <w:p>
            <w:pPr>
              <w:pStyle w:val="Compact"/>
              <w:jc w:val="left"/>
            </w:pPr>
            <w:r>
              <w:t xml:space="preserve">✅</w:t>
            </w:r>
            <w:r>
              <w:t xml:space="preserve"> </w:t>
            </w:r>
            <w:r>
              <w:rPr>
                <w:b/>
                <w:bCs/>
              </w:rPr>
              <w:t xml:space="preserve">Verified</w:t>
            </w:r>
          </w:p>
        </w:tc>
        <w:tc>
          <w:tcPr/>
          <w:p>
            <w:pPr>
              <w:pStyle w:val="Compact"/>
              <w:jc w:val="left"/>
            </w:pPr>
            <w:r>
              <w:t xml:space="preserve">GitHub repos (github.com/ExcessiveMotion); YouTube documentation</w:t>
            </w:r>
          </w:p>
        </w:tc>
      </w:tr>
      <w:tr>
        <w:tc>
          <w:tcPr/>
          <w:p>
            <w:pPr>
              <w:pStyle w:val="Compact"/>
              <w:jc w:val="left"/>
            </w:pPr>
            <w:r>
              <w:rPr>
                <w:b/>
                <w:bCs/>
              </w:rPr>
              <w:t xml:space="preserve">JLCPCB pricing ($2 for 5 PCBs)</w:t>
            </w:r>
          </w:p>
        </w:tc>
        <w:tc>
          <w:tcPr/>
          <w:p>
            <w:pPr>
              <w:pStyle w:val="Compact"/>
              <w:jc w:val="left"/>
            </w:pPr>
            <w:r>
              <w:t xml:space="preserve">✅</w:t>
            </w:r>
            <w:r>
              <w:t xml:space="preserve"> </w:t>
            </w:r>
            <w:r>
              <w:rPr>
                <w:b/>
                <w:bCs/>
              </w:rPr>
              <w:t xml:space="preserve">Verified</w:t>
            </w:r>
          </w:p>
        </w:tc>
        <w:tc>
          <w:tcPr/>
          <w:p>
            <w:pPr>
              <w:pStyle w:val="Compact"/>
              <w:jc w:val="left"/>
            </w:pPr>
            <w:r>
              <w:t xml:space="preserve">jlcpcb.com pricing page; confirmed current</w:t>
            </w:r>
          </w:p>
        </w:tc>
      </w:tr>
      <w:tr>
        <w:tc>
          <w:tcPr/>
          <w:p>
            <w:pPr>
              <w:pStyle w:val="Compact"/>
              <w:jc w:val="left"/>
            </w:pPr>
            <w:r>
              <w:rPr>
                <w:b/>
                <w:bCs/>
              </w:rPr>
              <w:t xml:space="preserve">Yahoo Auctions Japan prices (¥21,433, ¥30,000, ¥91,000)</w:t>
            </w:r>
          </w:p>
        </w:tc>
        <w:tc>
          <w:tcPr/>
          <w:p>
            <w:pPr>
              <w:pStyle w:val="Compact"/>
              <w:jc w:val="left"/>
            </w:pPr>
            <w:r>
              <w:t xml:space="preserve">⚠️</w:t>
            </w:r>
            <w:r>
              <w:t xml:space="preserve"> </w:t>
            </w:r>
            <w:r>
              <w:rPr>
                <w:b/>
                <w:bCs/>
              </w:rPr>
              <w:t xml:space="preserve">Individual auction closes</w:t>
            </w:r>
          </w:p>
        </w:tc>
        <w:tc>
          <w:tcPr/>
          <w:p>
            <w:pPr>
              <w:pStyle w:val="Compact"/>
              <w:jc w:val="left"/>
            </w:pPr>
            <w:r>
              <w:t xml:space="preserve">These are real results from specific auctions, not reliable market prices. Directional evidence only.</w:t>
            </w:r>
          </w:p>
        </w:tc>
      </w:tr>
      <w:tr>
        <w:tc>
          <w:tcPr/>
          <w:p>
            <w:pPr>
              <w:pStyle w:val="Compact"/>
              <w:jc w:val="left"/>
            </w:pPr>
            <w:r>
              <w:rPr>
                <w:b/>
                <w:bCs/>
              </w:rPr>
              <w:t xml:space="preserve">Mechatro Associates / Air Water Group / May 2023 launch</w:t>
            </w:r>
          </w:p>
        </w:tc>
        <w:tc>
          <w:tcPr/>
          <w:p>
            <w:pPr>
              <w:pStyle w:val="Compact"/>
              <w:jc w:val="left"/>
            </w:pPr>
            <w:r>
              <w:t xml:space="preserve">🔴</w:t>
            </w:r>
            <w:r>
              <w:t xml:space="preserve"> </w:t>
            </w:r>
            <w:r>
              <w:rPr>
                <w:b/>
                <w:bCs/>
              </w:rPr>
              <w:t xml:space="preserve">Not verified</w:t>
            </w:r>
          </w:p>
        </w:tc>
        <w:tc>
          <w:tcPr/>
          <w:p>
            <w:pPr>
              <w:pStyle w:val="Compact"/>
              <w:jc w:val="left"/>
            </w:pPr>
            <w:r>
              <w:t xml:space="preserve">Company is real (Thailand subsidiary found), but parent company, launch date, and phone number could not be confirmed.</w:t>
            </w:r>
            <w:r>
              <w:t xml:space="preserve"> </w:t>
            </w:r>
            <w:r>
              <w:rPr>
                <w:b/>
                <w:bCs/>
              </w:rPr>
              <w:t xml:space="preserve">Verify independently before contacting.</w:t>
            </w:r>
          </w:p>
        </w:tc>
      </w:tr>
      <w:tr>
        <w:tc>
          <w:tcPr/>
          <w:p>
            <w:pPr>
              <w:pStyle w:val="Compact"/>
              <w:jc w:val="left"/>
            </w:pPr>
            <w:r>
              <w:rPr>
                <w:b/>
                <w:bCs/>
              </w:rPr>
              <w:t xml:space="preserve">Arigato Corporation WhatsApp contact (+81 80 4812 6989)</w:t>
            </w:r>
          </w:p>
        </w:tc>
        <w:tc>
          <w:tcPr/>
          <w:p>
            <w:pPr>
              <w:pStyle w:val="Compact"/>
              <w:jc w:val="left"/>
            </w:pPr>
            <w:r>
              <w:t xml:space="preserve">⚠️</w:t>
            </w:r>
            <w:r>
              <w:t xml:space="preserve"> </w:t>
            </w:r>
            <w:r>
              <w:rPr>
                <w:b/>
                <w:bCs/>
              </w:rPr>
              <w:t xml:space="preserve">From first version’s research</w:t>
            </w:r>
          </w:p>
        </w:tc>
        <w:tc>
          <w:tcPr/>
          <w:p>
            <w:pPr>
              <w:pStyle w:val="Compact"/>
              <w:jc w:val="left"/>
            </w:pPr>
            <w:r>
              <w:t xml:space="preserve">Should be verified through arigatocorp.jp before relying on it</w:t>
            </w:r>
          </w:p>
        </w:tc>
      </w:tr>
      <w:tr>
        <w:tc>
          <w:tcPr/>
          <w:p>
            <w:pPr>
              <w:pStyle w:val="Compact"/>
              <w:jc w:val="left"/>
            </w:pPr>
            <w:r>
              <w:rPr>
                <w:b/>
                <w:bCs/>
              </w:rPr>
              <w:t xml:space="preserve">Philippine customs duty (2.5%) and VAT (12%)</w:t>
            </w:r>
          </w:p>
        </w:tc>
        <w:tc>
          <w:tcPr/>
          <w:p>
            <w:pPr>
              <w:pStyle w:val="Compact"/>
              <w:jc w:val="left"/>
            </w:pPr>
            <w:r>
              <w:t xml:space="preserve">✅</w:t>
            </w:r>
            <w:r>
              <w:t xml:space="preserve"> </w:t>
            </w:r>
            <w:r>
              <w:rPr>
                <w:b/>
                <w:bCs/>
              </w:rPr>
              <w:t xml:space="preserve">Verified</w:t>
            </w:r>
          </w:p>
        </w:tc>
        <w:tc>
          <w:tcPr/>
          <w:p>
            <w:pPr>
              <w:pStyle w:val="Compact"/>
              <w:jc w:val="left"/>
            </w:pPr>
            <w:r>
              <w:t xml:space="preserve">Bureau of Customs CMTA; HS Code 8479.50.00</w:t>
            </w:r>
          </w:p>
        </w:tc>
      </w:tr>
    </w:tbl>
    <w:bookmarkEnd w:id="49"/>
    <w:bookmarkStart w:id="50" w:name="Xe894c5dcdca47237d1af7b0b7ff853541cca732"/>
    <w:p>
      <w:pPr>
        <w:pStyle w:val="2"/>
      </w:pPr>
      <w:r>
        <w:t xml:space="preserve">11. The Bigger Picture: A New Industry for the Philippines</w:t>
      </w:r>
    </w:p>
    <w:p>
      <w:pPr>
        <w:pStyle w:val="FirstParagraph"/>
      </w:pPr>
      <w:r>
        <w:t xml:space="preserve">Three robots. Two years. One system for giving old machines a second life — and a</w:t>
      </w:r>
      <w:r>
        <w:t xml:space="preserve"> </w:t>
      </w:r>
      <w:r>
        <w:rPr>
          <w:b/>
          <w:bCs/>
        </w:rPr>
        <w:t xml:space="preserve">new industry for the people who build it.</w:t>
      </w:r>
    </w:p>
    <w:p>
      <w:pPr>
        <w:pStyle w:val="a0"/>
      </w:pPr>
      <w:r>
        <w:t xml:space="preserve">The Philippines has historically been an importer of technology, not a creator of it. Industrial robots arrive fully formed from Japan, Germany, or the United States, operated by Filipino technicians who are trained on proprietary systems they cannot modify, improve, or understand at the firmware level. CGG’s open-source refurbishment model inverts this relationship: the Philippines becomes the place where</w:t>
      </w:r>
      <w:r>
        <w:t xml:space="preserve"> </w:t>
      </w:r>
      <w:r>
        <w:rPr>
          <w:b/>
          <w:bCs/>
        </w:rPr>
        <w:t xml:space="preserve">Japanese technology gets a second life</w:t>
      </w:r>
      <w:r>
        <w:t xml:space="preserve">, where</w:t>
      </w:r>
      <w:r>
        <w:t xml:space="preserve"> </w:t>
      </w:r>
      <w:r>
        <w:rPr>
          <w:b/>
          <w:bCs/>
        </w:rPr>
        <w:t xml:space="preserve">Filipino engineers write the code</w:t>
      </w:r>
      <w:r>
        <w:t xml:space="preserve"> </w:t>
      </w:r>
      <w:r>
        <w:t xml:space="preserve">that makes it work, and where</w:t>
      </w:r>
      <w:r>
        <w:t xml:space="preserve"> </w:t>
      </w:r>
      <w:r>
        <w:rPr>
          <w:b/>
          <w:bCs/>
        </w:rPr>
        <w:t xml:space="preserve">Filipino students learn</w:t>
      </w:r>
      <w:r>
        <w:t xml:space="preserve"> </w:t>
      </w:r>
      <w:r>
        <w:t xml:space="preserve">the full stack of robotics engineering from first principles.</w:t>
      </w:r>
    </w:p>
    <w:p>
      <w:pPr>
        <w:pStyle w:val="a0"/>
      </w:pPr>
      <w:r>
        <w:t xml:space="preserve">Every robot brand and generation speaks a different servo protocol. There is no single</w:t>
      </w:r>
      <w:r>
        <w:t xml:space="preserve"> </w:t>
      </w:r>
      <w:r>
        <w:t xml:space="preserve">“</w:t>
      </w:r>
      <w:r>
        <w:t xml:space="preserve">universal open-source controller</w:t>
      </w:r>
      <w:r>
        <w:t xml:space="preserve">”</w:t>
      </w:r>
      <w:r>
        <w:t xml:space="preserve"> </w:t>
      </w:r>
      <w:r>
        <w:t xml:space="preserve">waiting to be built — only a growing library of solved cases. But that library, once built, becomes a</w:t>
      </w:r>
      <w:r>
        <w:t xml:space="preserve"> </w:t>
      </w:r>
      <w:r>
        <w:rPr>
          <w:b/>
          <w:bCs/>
        </w:rPr>
        <w:t xml:space="preserve">permanent competitive advantage</w:t>
      </w:r>
      <w:r>
        <w:t xml:space="preserve">. It is knowledge that cannot be bought, only earned through hands-on engineering. It is the foundation of an industry that does not exist yet in the Philippines — and CGG is positioning itself to build it, one orphaned robot at a time.</w:t>
      </w:r>
    </w:p>
    <w:p>
      <w:r>
        <w:pict>
          <v:rect style="width:0;height:1.5pt" o:hralign="center" o:hrstd="t" o:hr="t"/>
        </w:pict>
      </w:r>
    </w:p>
    <w:p>
      <w:pPr>
        <w:pStyle w:val="FirstParagraph"/>
      </w:pPr>
      <w:r>
        <w:rPr>
          <w:b/>
          <w:bCs/>
        </w:rPr>
        <w:t xml:space="preserve">Key Resources</w:t>
      </w:r>
    </w:p>
    <w:tbl>
      <w:tblPr>
        <w:tblStyle w:val="Table"/>
        <w:tblW w:type="pct" w:w="5000"/>
        <w:jc w:val="left"/>
        <w:tblLayout w:type="fixed"/>
        <w:tblLook w:firstRow="1" w:lastRow="0" w:firstColumn="0" w:lastColumn="0" w:noHBand="0" w:noVBand="0" w:val="0020"/>
      </w:tblPr>
      <w:tblGrid>
        <w:gridCol w:w="2140"/>
        <w:gridCol w:w="1070"/>
        <w:gridCol w:w="1926"/>
        <w:gridCol w:w="2782"/>
      </w:tblGrid>
      <w:tr>
        <w:trPr>
          <w:tblHeader w:val="on"/>
        </w:trPr>
        <w:tc>
          <w:tcPr/>
          <w:p>
            <w:pPr>
              <w:pStyle w:val="Compact"/>
              <w:jc w:val="left"/>
            </w:pPr>
            <w:r>
              <w:t xml:space="preserve">Resource</w:t>
            </w:r>
          </w:p>
        </w:tc>
        <w:tc>
          <w:tcPr/>
          <w:p>
            <w:pPr>
              <w:pStyle w:val="Compact"/>
              <w:jc w:val="left"/>
            </w:pPr>
            <w:r>
              <w:t xml:space="preserve">URL</w:t>
            </w:r>
          </w:p>
        </w:tc>
        <w:tc>
          <w:tcPr/>
          <w:p>
            <w:pPr>
              <w:pStyle w:val="Compact"/>
              <w:jc w:val="left"/>
            </w:pPr>
            <w:r>
              <w:t xml:space="preserve">Purpose</w:t>
            </w:r>
          </w:p>
        </w:tc>
        <w:tc>
          <w:tcPr/>
          <w:p>
            <w:pPr>
              <w:pStyle w:val="Compact"/>
              <w:jc w:val="left"/>
            </w:pPr>
            <w:r>
              <w:t xml:space="preserve">Verification</w:t>
            </w:r>
          </w:p>
        </w:tc>
      </w:tr>
      <w:tr>
        <w:tc>
          <w:tcPr/>
          <w:p>
            <w:pPr>
              <w:pStyle w:val="Compact"/>
              <w:jc w:val="left"/>
            </w:pPr>
            <w:r>
              <w:rPr>
                <w:b/>
                <w:bCs/>
              </w:rPr>
              <w:t xml:space="preserve">LeRobot (Hugging Face)</w:t>
            </w:r>
          </w:p>
        </w:tc>
        <w:tc>
          <w:tcPr/>
          <w:p>
            <w:pPr>
              <w:pStyle w:val="Compact"/>
              <w:jc w:val="left"/>
            </w:pPr>
            <w:r>
              <w:t xml:space="preserve">huggingface.co/docs/lerobot</w:t>
            </w:r>
          </w:p>
        </w:tc>
        <w:tc>
          <w:tcPr/>
          <w:p>
            <w:pPr>
              <w:pStyle w:val="Compact"/>
              <w:jc w:val="left"/>
            </w:pPr>
            <w:r>
              <w:t xml:space="preserve">Open-source robot learning framework</w:t>
            </w:r>
          </w:p>
        </w:tc>
        <w:tc>
          <w:tcPr/>
          <w:p>
            <w:pPr>
              <w:pStyle w:val="Compact"/>
              <w:jc w:val="left"/>
            </w:pPr>
            <w:r>
              <w:t xml:space="preserve">✅ Confirmed</w:t>
            </w:r>
          </w:p>
        </w:tc>
      </w:tr>
      <w:tr>
        <w:tc>
          <w:tcPr/>
          <w:p>
            <w:pPr>
              <w:pStyle w:val="Compact"/>
              <w:jc w:val="left"/>
            </w:pPr>
            <w:r>
              <w:rPr>
                <w:b/>
                <w:bCs/>
              </w:rPr>
              <w:t xml:space="preserve">ExcessiveMotion GitHub</w:t>
            </w:r>
          </w:p>
        </w:tc>
        <w:tc>
          <w:tcPr/>
          <w:p>
            <w:pPr>
              <w:pStyle w:val="Compact"/>
              <w:jc w:val="left"/>
            </w:pPr>
            <w:r>
              <w:t xml:space="preserve">github.com/ExcessiveMotion</w:t>
            </w:r>
          </w:p>
        </w:tc>
        <w:tc>
          <w:tcPr/>
          <w:p>
            <w:pPr>
              <w:pStyle w:val="Compact"/>
              <w:jc w:val="left"/>
            </w:pPr>
            <w:r>
              <w:t xml:space="preserve">Reference open-source robot controller</w:t>
            </w:r>
          </w:p>
        </w:tc>
        <w:tc>
          <w:tcPr/>
          <w:p>
            <w:pPr>
              <w:pStyle w:val="Compact"/>
              <w:jc w:val="left"/>
            </w:pPr>
            <w:r>
              <w:t xml:space="preserve">✅ Confirmed</w:t>
            </w:r>
          </w:p>
        </w:tc>
      </w:tr>
      <w:tr>
        <w:tc>
          <w:tcPr/>
          <w:p>
            <w:pPr>
              <w:pStyle w:val="Compact"/>
              <w:jc w:val="left"/>
            </w:pPr>
            <w:r>
              <w:rPr>
                <w:b/>
                <w:bCs/>
              </w:rPr>
              <w:t xml:space="preserve">STMBL Servo Drive</w:t>
            </w:r>
          </w:p>
        </w:tc>
        <w:tc>
          <w:tcPr/>
          <w:p>
            <w:pPr>
              <w:pStyle w:val="Compact"/>
              <w:jc w:val="left"/>
            </w:pPr>
            <w:r>
              <w:t xml:space="preserve">github.com/rene-dev/stmbl</w:t>
            </w:r>
          </w:p>
        </w:tc>
        <w:tc>
          <w:tcPr/>
          <w:p>
            <w:pPr>
              <w:pStyle w:val="Compact"/>
              <w:jc w:val="left"/>
            </w:pPr>
            <w:r>
              <w:t xml:space="preserve">Open-source servo drive for industrial motors</w:t>
            </w:r>
          </w:p>
        </w:tc>
        <w:tc>
          <w:tcPr/>
          <w:p>
            <w:pPr>
              <w:pStyle w:val="Compact"/>
              <w:jc w:val="left"/>
            </w:pPr>
            <w:r>
              <w:t xml:space="preserve">✅ Confirmed</w:t>
            </w:r>
          </w:p>
        </w:tc>
      </w:tr>
      <w:tr>
        <w:tc>
          <w:tcPr/>
          <w:p>
            <w:pPr>
              <w:pStyle w:val="Compact"/>
              <w:jc w:val="left"/>
            </w:pPr>
            <w:r>
              <w:rPr>
                <w:b/>
                <w:bCs/>
              </w:rPr>
              <w:t xml:space="preserve">STMBL Fork (freakontrol)</w:t>
            </w:r>
          </w:p>
        </w:tc>
        <w:tc>
          <w:tcPr/>
          <w:p>
            <w:pPr>
              <w:pStyle w:val="Compact"/>
              <w:jc w:val="left"/>
            </w:pPr>
            <w:r>
              <w:t xml:space="preserve">github.com/freakontrol/stmbl</w:t>
            </w:r>
          </w:p>
        </w:tc>
        <w:tc>
          <w:tcPr/>
          <w:p>
            <w:pPr>
              <w:pStyle w:val="Compact"/>
              <w:jc w:val="left"/>
            </w:pPr>
            <w:r>
              <w:t xml:space="preserve">Improved version with upgraded power stage</w:t>
            </w:r>
          </w:p>
        </w:tc>
        <w:tc>
          <w:tcPr/>
          <w:p>
            <w:pPr>
              <w:pStyle w:val="Compact"/>
              <w:jc w:val="left"/>
            </w:pPr>
            <w:r>
              <w:t xml:space="preserve">✅ Confirmed</w:t>
            </w:r>
          </w:p>
        </w:tc>
      </w:tr>
      <w:tr>
        <w:tc>
          <w:tcPr/>
          <w:p>
            <w:pPr>
              <w:pStyle w:val="Compact"/>
              <w:jc w:val="left"/>
            </w:pPr>
            <w:r>
              <w:rPr>
                <w:b/>
                <w:bCs/>
              </w:rPr>
              <w:t xml:space="preserve">ODrive Robotics</w:t>
            </w:r>
          </w:p>
        </w:tc>
        <w:tc>
          <w:tcPr/>
          <w:p>
            <w:pPr>
              <w:pStyle w:val="Compact"/>
              <w:jc w:val="left"/>
            </w:pPr>
            <w:r>
              <w:t xml:space="preserve">odriverobotics.com</w:t>
            </w:r>
          </w:p>
        </w:tc>
        <w:tc>
          <w:tcPr/>
          <w:p>
            <w:pPr>
              <w:pStyle w:val="Compact"/>
              <w:jc w:val="left"/>
            </w:pPr>
            <w:r>
              <w:t xml:space="preserve">Open-source BLDC/PMSM motor controller</w:t>
            </w:r>
          </w:p>
        </w:tc>
        <w:tc>
          <w:tcPr/>
          <w:p>
            <w:pPr>
              <w:pStyle w:val="Compact"/>
              <w:jc w:val="left"/>
            </w:pPr>
            <w:r>
              <w:t xml:space="preserve">✅ Confirmed</w:t>
            </w:r>
          </w:p>
        </w:tc>
      </w:tr>
      <w:tr>
        <w:tc>
          <w:tcPr/>
          <w:p>
            <w:pPr>
              <w:pStyle w:val="Compact"/>
              <w:jc w:val="left"/>
            </w:pPr>
            <w:r>
              <w:rPr>
                <w:b/>
                <w:bCs/>
              </w:rPr>
              <w:t xml:space="preserve">Godot Engine</w:t>
            </w:r>
          </w:p>
        </w:tc>
        <w:tc>
          <w:tcPr/>
          <w:p>
            <w:pPr>
              <w:pStyle w:val="Compact"/>
              <w:jc w:val="left"/>
            </w:pPr>
            <w:r>
              <w:t xml:space="preserve">godotengine.org</w:t>
            </w:r>
          </w:p>
        </w:tc>
        <w:tc>
          <w:tcPr/>
          <w:p>
            <w:pPr>
              <w:pStyle w:val="Compact"/>
              <w:jc w:val="left"/>
            </w:pPr>
            <w:r>
              <w:t xml:space="preserve">Digital twin and simulation platform</w:t>
            </w:r>
          </w:p>
        </w:tc>
        <w:tc>
          <w:tcPr/>
          <w:p>
            <w:pPr>
              <w:pStyle w:val="Compact"/>
              <w:jc w:val="left"/>
            </w:pPr>
            <w:r>
              <w:t xml:space="preserve">✅ Confirmed</w:t>
            </w:r>
          </w:p>
        </w:tc>
      </w:tr>
      <w:tr>
        <w:tc>
          <w:tcPr/>
          <w:p>
            <w:pPr>
              <w:pStyle w:val="Compact"/>
              <w:jc w:val="left"/>
            </w:pPr>
            <w:r>
              <w:rPr>
                <w:b/>
                <w:bCs/>
              </w:rPr>
              <w:t xml:space="preserve">eSOL eXRP</w:t>
            </w:r>
          </w:p>
        </w:tc>
        <w:tc>
          <w:tcPr/>
          <w:p>
            <w:pPr>
              <w:pStyle w:val="Compact"/>
              <w:jc w:val="left"/>
            </w:pPr>
            <w:r>
              <w:t xml:space="preserve">esol.com/embedded/exrp</w:t>
            </w:r>
          </w:p>
        </w:tc>
        <w:tc>
          <w:tcPr/>
          <w:p>
            <w:pPr>
              <w:pStyle w:val="Compact"/>
              <w:jc w:val="left"/>
            </w:pPr>
            <w:r>
              <w:t xml:space="preserve">Industrial 3D engine built on Godot</w:t>
            </w:r>
          </w:p>
        </w:tc>
        <w:tc>
          <w:tcPr/>
          <w:p>
            <w:pPr>
              <w:pStyle w:val="Compact"/>
              <w:jc w:val="left"/>
            </w:pPr>
            <w:r>
              <w:t xml:space="preserve">✅ Confirmed (Apr 2026)</w:t>
            </w:r>
          </w:p>
        </w:tc>
      </w:tr>
      <w:tr>
        <w:tc>
          <w:tcPr/>
          <w:p>
            <w:pPr>
              <w:pStyle w:val="Compact"/>
              <w:jc w:val="left"/>
            </w:pPr>
            <w:r>
              <w:rPr>
                <w:b/>
                <w:bCs/>
              </w:rPr>
              <w:t xml:space="preserve">JLCPCB</w:t>
            </w:r>
          </w:p>
        </w:tc>
        <w:tc>
          <w:tcPr/>
          <w:p>
            <w:pPr>
              <w:pStyle w:val="Compact"/>
              <w:jc w:val="left"/>
            </w:pPr>
            <w:r>
              <w:t xml:space="preserve">jlcpcb.com</w:t>
            </w:r>
          </w:p>
        </w:tc>
        <w:tc>
          <w:tcPr/>
          <w:p>
            <w:pPr>
              <w:pStyle w:val="Compact"/>
              <w:jc w:val="left"/>
            </w:pPr>
            <w:r>
              <w:t xml:space="preserve">PCB fabrication and assembly</w:t>
            </w:r>
          </w:p>
        </w:tc>
        <w:tc>
          <w:tcPr/>
          <w:p>
            <w:pPr>
              <w:pStyle w:val="Compact"/>
              <w:jc w:val="left"/>
            </w:pPr>
            <w:r>
              <w:t xml:space="preserve">✅ Confirmed</w:t>
            </w:r>
          </w:p>
        </w:tc>
      </w:tr>
      <w:tr>
        <w:tc>
          <w:tcPr/>
          <w:p>
            <w:pPr>
              <w:pStyle w:val="Compact"/>
              <w:jc w:val="left"/>
            </w:pPr>
            <w:r>
              <w:rPr>
                <w:b/>
                <w:bCs/>
              </w:rPr>
              <w:t xml:space="preserve">LinuxCNC</w:t>
            </w:r>
          </w:p>
        </w:tc>
        <w:tc>
          <w:tcPr/>
          <w:p>
            <w:pPr>
              <w:pStyle w:val="Compact"/>
              <w:jc w:val="left"/>
            </w:pPr>
            <w:r>
              <w:t xml:space="preserve">linuxcnc.org</w:t>
            </w:r>
          </w:p>
        </w:tc>
        <w:tc>
          <w:tcPr/>
          <w:p>
            <w:pPr>
              <w:pStyle w:val="Compact"/>
              <w:jc w:val="left"/>
            </w:pPr>
            <w:r>
              <w:t xml:space="preserve">Real-time CNC/robot control software</w:t>
            </w:r>
          </w:p>
        </w:tc>
        <w:tc>
          <w:tcPr/>
          <w:p>
            <w:pPr>
              <w:pStyle w:val="Compact"/>
              <w:jc w:val="left"/>
            </w:pPr>
            <w:r>
              <w:t xml:space="preserve">✅ Confirmed</w:t>
            </w:r>
          </w:p>
        </w:tc>
      </w:tr>
      <w:tr>
        <w:tc>
          <w:tcPr/>
          <w:p>
            <w:pPr>
              <w:pStyle w:val="Compact"/>
              <w:jc w:val="left"/>
            </w:pPr>
            <w:r>
              <w:rPr>
                <w:b/>
                <w:bCs/>
              </w:rPr>
              <w:t xml:space="preserve">ROS</w:t>
            </w:r>
          </w:p>
        </w:tc>
        <w:tc>
          <w:tcPr/>
          <w:p>
            <w:pPr>
              <w:pStyle w:val="Compact"/>
              <w:jc w:val="left"/>
            </w:pPr>
            <w:r>
              <w:t xml:space="preserve">ros.org</w:t>
            </w:r>
          </w:p>
        </w:tc>
        <w:tc>
          <w:tcPr/>
          <w:p>
            <w:pPr>
              <w:pStyle w:val="Compact"/>
              <w:jc w:val="left"/>
            </w:pPr>
            <w:r>
              <w:t xml:space="preserve">Robot Operating System</w:t>
            </w:r>
          </w:p>
        </w:tc>
        <w:tc>
          <w:tcPr/>
          <w:p>
            <w:pPr>
              <w:pStyle w:val="Compact"/>
              <w:jc w:val="left"/>
            </w:pPr>
            <w:r>
              <w:t xml:space="preserve">✅ Confirmed</w:t>
            </w:r>
          </w:p>
        </w:tc>
      </w:tr>
      <w:tr>
        <w:tc>
          <w:tcPr/>
          <w:p>
            <w:pPr>
              <w:pStyle w:val="Compact"/>
              <w:jc w:val="left"/>
            </w:pPr>
            <w:r>
              <w:rPr>
                <w:b/>
                <w:bCs/>
              </w:rPr>
              <w:t xml:space="preserve">Yahoo Auctions Japan</w:t>
            </w:r>
          </w:p>
        </w:tc>
        <w:tc>
          <w:tcPr/>
          <w:p>
            <w:pPr>
              <w:pStyle w:val="Compact"/>
              <w:jc w:val="left"/>
            </w:pPr>
            <w:r>
              <w:t xml:space="preserve">auctions.yahoo.co.jp</w:t>
            </w:r>
          </w:p>
        </w:tc>
        <w:tc>
          <w:tcPr/>
          <w:p>
            <w:pPr>
              <w:pStyle w:val="Compact"/>
              <w:jc w:val="left"/>
            </w:pPr>
            <w:r>
              <w:t xml:space="preserve">Primary robot sourcing channel</w:t>
            </w:r>
          </w:p>
        </w:tc>
        <w:tc>
          <w:tcPr/>
          <w:p>
            <w:pPr>
              <w:pStyle w:val="Compact"/>
              <w:jc w:val="left"/>
            </w:pPr>
            <w:r>
              <w:t xml:space="preserve">✅ Confirmed</w:t>
            </w:r>
          </w:p>
        </w:tc>
      </w:tr>
      <w:tr>
        <w:tc>
          <w:tcPr/>
          <w:p>
            <w:pPr>
              <w:pStyle w:val="Compact"/>
              <w:jc w:val="left"/>
            </w:pPr>
            <w:r>
              <w:rPr>
                <w:b/>
                <w:bCs/>
              </w:rPr>
              <w:t xml:space="preserve">Arigato Corporation</w:t>
            </w:r>
          </w:p>
        </w:tc>
        <w:tc>
          <w:tcPr/>
          <w:p>
            <w:pPr>
              <w:pStyle w:val="Compact"/>
              <w:jc w:val="left"/>
            </w:pPr>
            <w:r>
              <w:t xml:space="preserve">arigatocorp.jp</w:t>
            </w:r>
          </w:p>
        </w:tc>
        <w:tc>
          <w:tcPr/>
          <w:p>
            <w:pPr>
              <w:pStyle w:val="Compact"/>
              <w:jc w:val="left"/>
            </w:pPr>
            <w:r>
              <w:t xml:space="preserve">Japan-Philippines used machinery exporter</w:t>
            </w:r>
          </w:p>
        </w:tc>
        <w:tc>
          <w:tcPr/>
          <w:p>
            <w:pPr>
              <w:pStyle w:val="Compact"/>
              <w:jc w:val="left"/>
            </w:pPr>
            <w:r>
              <w:t xml:space="preserve">⚠️ Verify contact</w:t>
            </w:r>
          </w:p>
        </w:tc>
      </w:tr>
    </w:tbl>
    <w:bookmarkEnd w:id="50"/>
    <w:bookmarkEnd w:id="51"/>
    <w:sectPr w:rsidR="001C7A67" w:rsidSect="005F6CBF">
      <w:headerReference r:id="rId9" w:type="even"/>
      <w:headerReference r:id="rId11" w:type="default"/>
      <w:footerReference r:id="rId14" w:type="even"/>
      <w:footerReference r:id="rId13" w:type="default"/>
      <w:headerReference r:id="rId10" w:type="first"/>
      <w:footerReference r:id="rId12" w:type="first"/>
      <w:footnotePr>
        <w:numRestart w:val="eachSect"/>
      </w:footnotePr>
      <w:pgSz w:h="15840" w:w="12240"/>
      <w:pgMar w:bottom="1440" w:footer="1020" w:gutter="0" w:header="720" w:left="1800" w:right="1800" w:top="1440"/>
      <w:cols w:space="720"/>
      <w:docGrid w:linePitch="3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正文 CS 字体)">
    <w:altName w:val="宋体"/>
    <w:panose1 w:val="020B0604020202020204"/>
    <w:charset w:val="86"/>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Times New Roman (标题 CS)">
    <w:altName w:val="宋体"/>
    <w:panose1 w:val="020B0604020202020204"/>
    <w:charset w:val="86"/>
    <w:family w:val="roman"/>
    <w:notTrueType/>
    <w:pitch w:val="default"/>
  </w:font>
  <w:font w:name="等线 Light">
    <w:panose1 w:val="02010600030101010101"/>
    <w:charset w:val="86"/>
    <w:family w:val="auto"/>
    <w:pitch w:val="variable"/>
    <w:sig w:usb0="A00002BF" w:usb1="38CF7CFA" w:usb2="00000016" w:usb3="00000000" w:csb0="0004000F" w:csb1="00000000"/>
  </w:font>
  <w:font w:name="Consolas">
    <w:altName w:val="苹方-简"/>
    <w:panose1 w:val="020B0609020204030204"/>
    <w:charset w:val="00"/>
    <w:family w:val="modern"/>
    <w:pitch w:val="fixed"/>
    <w:sig w:usb0="E10002FF" w:usb1="4000FCFF" w:usb2="00000009"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F1" w:rsidRDefault="003054F1">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CBF" w:rsidRPr="005F6CBF" w:rsidRDefault="003054F1" w:rsidP="003054F1">
    <w:pPr>
      <w:pStyle w:val="af4"/>
      <w:wordWrap w:val="0"/>
      <w:jc w:val="right"/>
      <w:rPr>
        <w:sz w:val="24"/>
        <w:szCs w:val="24"/>
        <w:lang w:eastAsia="zh-CN"/>
      </w:rPr>
    </w:pPr>
    <w:r>
      <w:rPr>
        <w:sz w:val="24"/>
        <w:szCs w:val="24"/>
      </w:rPr>
      <w:t xml:space="preserve">Generated by </w:t>
    </w:r>
    <w:r>
      <w:rPr>
        <w:sz w:val="24"/>
        <w:szCs w:val="24"/>
      </w:rPr>
      <w:t>Kimi.ai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F1" w:rsidRDefault="003054F1">
    <w:pPr>
      <w:pStyle w:val="af4"/>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F1" w:rsidRDefault="003054F1">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F1" w:rsidRDefault="003054F1">
    <w:pPr>
      <w:pStyle w:val="a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F1" w:rsidRDefault="003054F1">
    <w:pPr>
      <w:pStyle w:val="af2"/>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F"/>
    <w:multiLevelType w:val="singleLevel"/>
    <w:tmpl w:val="E34447C8"/>
    <w:lvl w:ilvl="0">
      <w:start w:val="1"/>
      <w:numFmt w:val="decimal"/>
      <w:lvlText w:val="%1."/>
      <w:lvlJc w:val="left"/>
      <w:pPr>
        <w:tabs>
          <w:tab w:pos="780" w:val="num"/>
        </w:tabs>
        <w:ind w:hanging="360" w:hangingChars="200" w:left="780" w:leftChars="200"/>
      </w:pPr>
    </w:lvl>
  </w:abstractNum>
  <w:abstractNum w15:restartNumberingAfterBreak="0" w:abstractNumId="1">
    <w:nsid w:val="FFFFFF88"/>
    <w:multiLevelType w:val="singleLevel"/>
    <w:tmpl w:val="FBEE7FC8"/>
    <w:lvl w:ilvl="0">
      <w:start w:val="1"/>
      <w:numFmt w:val="decimal"/>
      <w:lvlText w:val="%1."/>
      <w:lvlJc w:val="left"/>
      <w:pPr>
        <w:tabs>
          <w:tab w:pos="360" w:val="num"/>
        </w:tabs>
        <w:ind w:hanging="360" w:hangingChars="200" w:left="360"/>
      </w:pPr>
    </w:lvl>
  </w:abstractNum>
  <w:abstractNum w15:restartNumberingAfterBreak="0" w:abstractNumId="2">
    <w:nsid w:val="170CD2DE"/>
    <w:multiLevelType w:val="multilevel"/>
    <w:tmpl w:val="76E495AA"/>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bullet"/>
      <w:lvlText w:val=" "/>
      <w:lvlJc w:val="left"/>
      <w:pPr>
        <w:tabs>
          <w:tab w:pos="5040" w:val="num"/>
        </w:tabs>
        <w:ind w:hanging="480" w:left="5520"/>
      </w:pPr>
    </w:lvl>
    <w:lvl w:ilvl="8">
      <w:numFmt w:val="bullet"/>
      <w:lvlText w:val=" "/>
      <w:lvlJc w:val="left"/>
      <w:pPr>
        <w:tabs>
          <w:tab w:pos="5760" w:val="num"/>
        </w:tabs>
        <w:ind w:hanging="480" w:left="6240"/>
      </w:pPr>
    </w:lvl>
  </w:abstractNum>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518012929" w:numId="1">
    <w:abstractNumId w:val="2"/>
  </w:num>
  <w:num w16cid:durableId="1115832812" w:numId="2">
    <w:abstractNumId w:val="0"/>
  </w:num>
  <w:num w16cid:durableId="1385718346" w:numId="3">
    <w:abstractNumId w:val="0"/>
  </w:num>
  <w:num w16cid:durableId="534512707" w:numId="4">
    <w:abstractNumId w:val="0"/>
  </w:num>
  <w:num w16cid:durableId="1318798893" w:numId="5">
    <w:abstractNumId w:val="0"/>
  </w:num>
  <w:num w16cid:durableId="1801877254" w:numId="6">
    <w:abstractNumId w:val="0"/>
  </w:num>
  <w:num w16cid:durableId="295257330" w:numId="7">
    <w:abstractNumId w:val="1"/>
  </w:num>
  <w:num w16cid:durableId="2013414762" w:numId="8">
    <w:abstractNumId w:val="1"/>
  </w:num>
  <w:num w16cid:durableId="815605401" w:numId="9">
    <w:abstractNumId w:val="1"/>
  </w:num>
  <w:num w16cid:durableId="575365733" w:numId="10">
    <w:abstractNumId w:val="1"/>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bordersDoNotSurroundHeader/>
  <w:bordersDoNotSurroundFooter/>
  <w:proofState w:grammar="clean" w:spelling="clean"/>
  <w:stylePaneFormatFilter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al="0004" w:visibleStyles="0"/>
  <w:doNotTrackMoves/>
  <w:defaultTabStop w:val="720"/>
  <w:drawingGridHorizontalSpacing w:val="360"/>
  <w:drawingGridVerticalSpacing w:val="360"/>
  <w:displayHorizontalDrawingGridEvery w:val="0"/>
  <w:displayVerticalDrawingGridEvery w:val="0"/>
  <w:characterSpacingControl w:val="doNotCompress"/>
  <w:savePreviewPicture/>
  <w:footnotePr>
    <w:numRestart w:val="eachSect"/>
    <w:footnote w:id="-1"/>
    <w:footnote w:id="0"/>
  </w:footnotePr>
  <w:compat>
    <w:useFELayout/>
    <w:compatSetting w:name="compatibilityMode" w:uri="http://schemas.microsoft.com/office/word" w:val="12"/>
    <w:compatSetting w:name="useWord2013TrackBottomHyphenation" w:uri="http://schemas.microsoft.com/office/word" w:val="1"/>
  </w:compat>
  <w:rsids>
    <w:rsidRoot w:val="001C7A67"/>
    <w:rsid w:val="00196211"/>
    <w:rsid w:val="001C7A67"/>
    <w:rsid w:val="003054F1"/>
    <w:rsid w:val="004825C6"/>
    <w:rsid w:val="0051628A"/>
    <w:rsid w:val="005464E3"/>
    <w:rsid w:val="005F6CBF"/>
    <w:rsid w:val="00643110"/>
    <w:rsid w:val="00746C97"/>
    <w:rsid w:val="008708D9"/>
    <w:rsid w:val="00977478"/>
    <w:rsid w:val="00AF517C"/>
    <w:rsid w:val="00BF08D0"/>
    <w:rsid w:val="00CF7597"/>
    <w:rsid w:val="00D90F1F"/>
    <w:rsid w:val="00EC61BB"/>
    <w:rsid w:val="00FA401C"/>
    <w:rsid w:val="00FD76EA"/>
    <w:rsid w:val="00FE619A"/>
  </w:rsids>
  <w:themeFontLang w:eastAsia="zh-CN"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EastAsia" w:hAnsiTheme="minorHAnsi"/>
        <w:sz w:val="24"/>
        <w:szCs w:val="24"/>
        <w:lang w:bidi="ar-SA" w:eastAsia="en-US" w:val="en-US"/>
      </w:rPr>
    </w:rPrDefault>
    <w:pPrDefault>
      <w:pPr>
        <w:spacing w:after="200"/>
      </w:pPr>
    </w:pPrDefault>
  </w:docDefaults>
  <w:latentStyles w:count="376" w:defLockedState="0" w:defQFormat="0" w:defSemiHidden="0" w:defUIPriority="0" w:defUnhideWhenUsed="0">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a" w:type="paragraph">
    <w:name w:val="Normal"/>
    <w:qFormat/>
    <w:rsid w:val="00977478"/>
    <w:pPr>
      <w:spacing w:after="0" w:line="360" w:lineRule="auto"/>
    </w:pPr>
    <w:rPr>
      <w:rFonts w:ascii="Arial" w:cs="Times New Roman (正文 CS 字体)" w:eastAsia="宋体" w:hAnsi="Arial"/>
    </w:rPr>
  </w:style>
  <w:style w:styleId="1" w:type="paragraph">
    <w:name w:val="heading 1"/>
    <w:basedOn w:val="a"/>
    <w:next w:val="a0"/>
    <w:link w:val="10"/>
    <w:uiPriority w:val="9"/>
    <w:qFormat/>
    <w:rsid w:val="008708D9"/>
    <w:pPr>
      <w:keepNext/>
      <w:keepLines/>
      <w:outlineLvl w:val="0"/>
    </w:pPr>
    <w:rPr>
      <w:rFonts w:cs="Times New Roman (标题 CS)" w:eastAsia="黑体"/>
      <w:sz w:val="30"/>
      <w:szCs w:val="40"/>
    </w:rPr>
  </w:style>
  <w:style w:styleId="2" w:type="paragraph">
    <w:name w:val="heading 2"/>
    <w:basedOn w:val="a"/>
    <w:next w:val="a0"/>
    <w:link w:val="20"/>
    <w:uiPriority w:val="9"/>
    <w:semiHidden/>
    <w:unhideWhenUsed/>
    <w:qFormat/>
    <w:rsid w:val="008708D9"/>
    <w:pPr>
      <w:keepNext/>
      <w:keepLines/>
      <w:outlineLvl w:val="1"/>
    </w:pPr>
    <w:rPr>
      <w:rFonts w:cs="Times New Roman (标题 CS)" w:eastAsia="黑体"/>
      <w:sz w:val="28"/>
      <w:szCs w:val="32"/>
    </w:rPr>
  </w:style>
  <w:style w:styleId="3" w:type="paragraph">
    <w:name w:val="heading 3"/>
    <w:basedOn w:val="a"/>
    <w:next w:val="a0"/>
    <w:link w:val="30"/>
    <w:uiPriority w:val="9"/>
    <w:semiHidden/>
    <w:unhideWhenUsed/>
    <w:qFormat/>
    <w:rsid w:val="008708D9"/>
    <w:pPr>
      <w:keepNext/>
      <w:keepLines/>
      <w:outlineLvl w:val="2"/>
    </w:pPr>
    <w:rPr>
      <w:rFonts w:cs="Times New Roman (标题 CS)" w:eastAsia="黑体"/>
      <w:sz w:val="26"/>
      <w:szCs w:val="28"/>
    </w:rPr>
  </w:style>
  <w:style w:styleId="4" w:type="paragraph">
    <w:name w:val="heading 4"/>
    <w:basedOn w:val="3"/>
    <w:next w:val="a0"/>
    <w:link w:val="40"/>
    <w:uiPriority w:val="9"/>
    <w:unhideWhenUsed/>
    <w:qFormat/>
    <w:rsid w:val="00EC61BB"/>
    <w:pPr>
      <w:outlineLvl w:val="3"/>
    </w:pPr>
  </w:style>
  <w:style w:styleId="5" w:type="paragraph">
    <w:name w:val="heading 5"/>
    <w:basedOn w:val="4"/>
    <w:next w:val="a0"/>
    <w:link w:val="50"/>
    <w:uiPriority w:val="9"/>
    <w:unhideWhenUsed/>
    <w:qFormat/>
    <w:rsid w:val="00EC61BB"/>
    <w:pPr>
      <w:outlineLvl w:val="4"/>
    </w:pPr>
  </w:style>
  <w:style w:styleId="6" w:type="paragraph">
    <w:name w:val="heading 6"/>
    <w:basedOn w:val="5"/>
    <w:next w:val="a0"/>
    <w:link w:val="60"/>
    <w:uiPriority w:val="9"/>
    <w:unhideWhenUsed/>
    <w:qFormat/>
    <w:rsid w:val="00EC61BB"/>
    <w:pPr>
      <w:outlineLvl w:val="5"/>
    </w:pPr>
  </w:style>
  <w:style w:styleId="7" w:type="paragraph">
    <w:name w:val="heading 7"/>
    <w:basedOn w:val="6"/>
    <w:next w:val="a0"/>
    <w:link w:val="70"/>
    <w:uiPriority w:val="9"/>
    <w:unhideWhenUsed/>
    <w:qFormat/>
    <w:rsid w:val="00EC61BB"/>
    <w:pPr>
      <w:outlineLvl w:val="6"/>
    </w:pPr>
  </w:style>
  <w:style w:styleId="8" w:type="paragraph">
    <w:name w:val="heading 8"/>
    <w:basedOn w:val="7"/>
    <w:next w:val="a0"/>
    <w:link w:val="80"/>
    <w:uiPriority w:val="9"/>
    <w:unhideWhenUsed/>
    <w:qFormat/>
    <w:rsid w:val="00EC61BB"/>
    <w:pPr>
      <w:outlineLvl w:val="7"/>
    </w:pPr>
  </w:style>
  <w:style w:styleId="9" w:type="paragraph">
    <w:name w:val="heading 9"/>
    <w:basedOn w:val="8"/>
    <w:next w:val="a0"/>
    <w:link w:val="90"/>
    <w:uiPriority w:val="9"/>
    <w:unhideWhenUsed/>
    <w:qFormat/>
    <w:rsid w:val="00EC61BB"/>
    <w:pPr>
      <w:outlineLvl w:val="8"/>
    </w:pPr>
  </w:style>
  <w:style w:default="1" w:styleId="a1" w:type="character">
    <w:name w:val="Default Paragraph Font"/>
    <w:uiPriority w:val="1"/>
    <w:semiHidden/>
    <w:unhideWhenUsed/>
  </w:style>
  <w:style w:default="1" w:styleId="a2" w:type="table">
    <w:name w:val="Normal Table"/>
    <w:uiPriority w:val="99"/>
    <w:semiHidden/>
    <w:unhideWhenUsed/>
    <w:tblPr>
      <w:tblInd w:type="dxa" w:w="0"/>
      <w:tblCellMar>
        <w:top w:type="dxa" w:w="0"/>
        <w:left w:type="dxa" w:w="108"/>
        <w:bottom w:type="dxa" w:w="0"/>
        <w:right w:type="dxa" w:w="108"/>
      </w:tblCellMar>
    </w:tblPr>
  </w:style>
  <w:style w:default="1" w:styleId="a3" w:type="numbering">
    <w:name w:val="No List"/>
    <w:uiPriority w:val="99"/>
    <w:semiHidden/>
    <w:unhideWhenUsed/>
  </w:style>
  <w:style w:styleId="a0" w:type="paragraph">
    <w:name w:val="Body Text"/>
    <w:basedOn w:val="a"/>
    <w:qFormat/>
    <w:rsid w:val="00CF7597"/>
  </w:style>
  <w:style w:customStyle="1" w:styleId="FirstParagraph" w:type="paragraph">
    <w:name w:val="First Paragraph"/>
    <w:basedOn w:val="a0"/>
    <w:next w:val="a0"/>
    <w:qFormat/>
  </w:style>
  <w:style w:customStyle="1" w:styleId="Compact" w:type="paragraph">
    <w:name w:val="Compact"/>
    <w:basedOn w:val="a0"/>
    <w:qFormat/>
    <w:pPr>
      <w:spacing w:after="36" w:before="36"/>
    </w:pPr>
  </w:style>
  <w:style w:styleId="a4" w:type="paragraph">
    <w:name w:val="Title"/>
    <w:basedOn w:val="a"/>
    <w:next w:val="a0"/>
    <w:link w:val="a5"/>
    <w:uiPriority w:val="10"/>
    <w:qFormat/>
    <w:rsid w:val="00AF517C"/>
    <w:pPr>
      <w:contextualSpacing/>
      <w:jc w:val="center"/>
    </w:pPr>
    <w:rPr>
      <w:rFonts w:cs="Times New Roman (标题 CS)" w:eastAsia="黑体"/>
      <w:sz w:val="30"/>
      <w:szCs w:val="56"/>
    </w:rPr>
  </w:style>
  <w:style w:customStyle="1" w:styleId="a5" w:type="character">
    <w:name w:val="标题 字符"/>
    <w:basedOn w:val="a1"/>
    <w:link w:val="a4"/>
    <w:uiPriority w:val="10"/>
    <w:rsid w:val="00AF517C"/>
    <w:rPr>
      <w:rFonts w:ascii="Arial" w:cs="Times New Roman (标题 CS)" w:eastAsia="黑体" w:hAnsi="Arial"/>
      <w:sz w:val="30"/>
      <w:szCs w:val="56"/>
    </w:rPr>
  </w:style>
  <w:style w:styleId="a6" w:type="paragraph">
    <w:name w:val="Subtitle"/>
    <w:basedOn w:val="a4"/>
    <w:next w:val="a0"/>
    <w:link w:val="a7"/>
    <w:uiPriority w:val="11"/>
    <w:qFormat/>
    <w:rsid w:val="00A10FD9"/>
    <w:pPr>
      <w:numPr>
        <w:ilvl w:val="1"/>
      </w:numPr>
    </w:pPr>
    <w:rPr>
      <w:rFonts w:cstheme="majorBidi" w:eastAsiaTheme="majorEastAsia"/>
      <w:spacing w:val="15"/>
      <w:sz w:val="28"/>
      <w:szCs w:val="28"/>
    </w:rPr>
  </w:style>
  <w:style w:customStyle="1" w:styleId="a7" w:type="character">
    <w:name w:val="副标题 字符"/>
    <w:basedOn w:val="a1"/>
    <w:link w:val="a6"/>
    <w:uiPriority w:val="11"/>
    <w:rsid w:val="00A10FD9"/>
    <w:rPr>
      <w:rFonts w:cstheme="majorBidi" w:eastAsiaTheme="majorEastAsia"/>
      <w:color w:themeColor="text1" w:themeTint="A6" w:val="595959"/>
      <w:spacing w:val="15"/>
      <w:sz w:val="28"/>
      <w:szCs w:val="28"/>
    </w:rPr>
  </w:style>
  <w:style w:customStyle="1" w:styleId="Author" w:type="paragraph">
    <w:name w:val="Author"/>
    <w:basedOn w:val="a4"/>
    <w:next w:val="a0"/>
    <w:qFormat/>
    <w:pPr>
      <w:keepNext/>
      <w:keepLines/>
    </w:pPr>
    <w:rPr>
      <w:sz w:val="24"/>
      <w:szCs w:val="24"/>
    </w:rPr>
  </w:style>
  <w:style w:styleId="a8" w:type="paragraph">
    <w:name w:val="Date"/>
    <w:basedOn w:val="a4"/>
    <w:next w:val="a0"/>
    <w:qFormat/>
    <w:pPr>
      <w:keepNext/>
      <w:keepLines/>
    </w:pPr>
    <w:rPr>
      <w:sz w:val="24"/>
      <w:szCs w:val="24"/>
    </w:rPr>
  </w:style>
  <w:style w:customStyle="1" w:styleId="AbstractTitle" w:type="paragraph">
    <w:name w:val="Abstract Title"/>
    <w:basedOn w:val="a"/>
    <w:next w:val="Abstract"/>
    <w:qFormat/>
    <w:pPr>
      <w:keepNext/>
      <w:keepLines/>
      <w:spacing w:before="300"/>
      <w:jc w:val="center"/>
    </w:pPr>
    <w:rPr>
      <w:b/>
      <w:sz w:val="20"/>
      <w:szCs w:val="20"/>
    </w:rPr>
  </w:style>
  <w:style w:customStyle="1" w:styleId="Abstract" w:type="paragraph">
    <w:name w:val="Abstract"/>
    <w:basedOn w:val="a"/>
    <w:next w:val="a0"/>
    <w:qFormat/>
    <w:pPr>
      <w:keepNext/>
      <w:keepLines/>
      <w:spacing w:after="300" w:before="100"/>
    </w:pPr>
    <w:rPr>
      <w:sz w:val="20"/>
      <w:szCs w:val="20"/>
    </w:rPr>
  </w:style>
  <w:style w:styleId="a9" w:type="paragraph">
    <w:name w:val="Bibliography"/>
    <w:basedOn w:val="a"/>
    <w:qFormat/>
  </w:style>
  <w:style w:customStyle="1" w:styleId="10" w:type="character">
    <w:name w:val="标题 1 字符"/>
    <w:basedOn w:val="a1"/>
    <w:link w:val="1"/>
    <w:uiPriority w:val="9"/>
    <w:rsid w:val="008708D9"/>
    <w:rPr>
      <w:rFonts w:ascii="Arial" w:cs="Times New Roman (标题 CS)" w:eastAsia="黑体" w:hAnsi="Arial"/>
      <w:sz w:val="30"/>
      <w:szCs w:val="40"/>
    </w:rPr>
  </w:style>
  <w:style w:customStyle="1" w:styleId="20" w:type="character">
    <w:name w:val="标题 2 字符"/>
    <w:basedOn w:val="a1"/>
    <w:link w:val="2"/>
    <w:uiPriority w:val="9"/>
    <w:semiHidden/>
    <w:rsid w:val="008708D9"/>
    <w:rPr>
      <w:rFonts w:ascii="Arial" w:cs="Times New Roman (标题 CS)" w:eastAsia="黑体" w:hAnsi="Arial"/>
      <w:sz w:val="28"/>
      <w:szCs w:val="32"/>
    </w:rPr>
  </w:style>
  <w:style w:customStyle="1" w:styleId="30" w:type="character">
    <w:name w:val="标题 3 字符"/>
    <w:basedOn w:val="a1"/>
    <w:link w:val="3"/>
    <w:uiPriority w:val="9"/>
    <w:semiHidden/>
    <w:rsid w:val="008708D9"/>
    <w:rPr>
      <w:rFonts w:ascii="Arial" w:cs="Times New Roman (标题 CS)" w:eastAsia="黑体" w:hAnsi="Arial"/>
      <w:sz w:val="26"/>
      <w:szCs w:val="28"/>
    </w:rPr>
  </w:style>
  <w:style w:customStyle="1" w:styleId="40" w:type="character">
    <w:name w:val="标题 4 字符"/>
    <w:basedOn w:val="a1"/>
    <w:link w:val="4"/>
    <w:uiPriority w:val="9"/>
    <w:rsid w:val="00EC61BB"/>
    <w:rPr>
      <w:rFonts w:ascii="Arial" w:cs="Times New Roman (标题 CS)" w:eastAsia="黑体" w:hAnsi="Arial"/>
      <w:color w:themeColor="accent1" w:themeShade="BF" w:val="0F4761"/>
      <w:sz w:val="26"/>
      <w:szCs w:val="28"/>
    </w:rPr>
  </w:style>
  <w:style w:customStyle="1" w:styleId="50" w:type="character">
    <w:name w:val="标题 5 字符"/>
    <w:basedOn w:val="a1"/>
    <w:link w:val="5"/>
    <w:uiPriority w:val="9"/>
    <w:rsid w:val="00EC61BB"/>
    <w:rPr>
      <w:rFonts w:ascii="Arial" w:cs="Times New Roman (标题 CS)" w:eastAsia="黑体" w:hAnsi="Arial"/>
      <w:color w:themeColor="accent1" w:themeShade="BF" w:val="0F4761"/>
      <w:sz w:val="26"/>
      <w:szCs w:val="28"/>
    </w:rPr>
  </w:style>
  <w:style w:customStyle="1" w:styleId="60" w:type="character">
    <w:name w:val="标题 6 字符"/>
    <w:basedOn w:val="a1"/>
    <w:link w:val="6"/>
    <w:uiPriority w:val="9"/>
    <w:rsid w:val="00EC61BB"/>
    <w:rPr>
      <w:rFonts w:ascii="Arial" w:cs="Times New Roman (标题 CS)" w:eastAsia="黑体" w:hAnsi="Arial"/>
      <w:color w:themeColor="accent1" w:themeShade="BF" w:val="0F4761"/>
      <w:sz w:val="26"/>
      <w:szCs w:val="28"/>
    </w:rPr>
  </w:style>
  <w:style w:customStyle="1" w:styleId="70" w:type="character">
    <w:name w:val="标题 7 字符"/>
    <w:basedOn w:val="a1"/>
    <w:link w:val="7"/>
    <w:uiPriority w:val="9"/>
    <w:rsid w:val="00EC61BB"/>
    <w:rPr>
      <w:rFonts w:ascii="Arial" w:cs="Times New Roman (标题 CS)" w:eastAsia="黑体" w:hAnsi="Arial"/>
      <w:color w:themeColor="accent1" w:themeShade="BF" w:val="0F4761"/>
      <w:sz w:val="26"/>
      <w:szCs w:val="28"/>
    </w:rPr>
  </w:style>
  <w:style w:customStyle="1" w:styleId="80" w:type="character">
    <w:name w:val="标题 8 字符"/>
    <w:basedOn w:val="a1"/>
    <w:link w:val="8"/>
    <w:uiPriority w:val="9"/>
    <w:rsid w:val="00EC61BB"/>
    <w:rPr>
      <w:rFonts w:ascii="Arial" w:cs="Times New Roman (标题 CS)" w:eastAsia="黑体" w:hAnsi="Arial"/>
      <w:color w:themeColor="accent1" w:themeShade="BF" w:val="0F4761"/>
      <w:sz w:val="26"/>
      <w:szCs w:val="28"/>
    </w:rPr>
  </w:style>
  <w:style w:customStyle="1" w:styleId="90" w:type="character">
    <w:name w:val="标题 9 字符"/>
    <w:basedOn w:val="a1"/>
    <w:link w:val="9"/>
    <w:uiPriority w:val="9"/>
    <w:rsid w:val="00EC61BB"/>
    <w:rPr>
      <w:rFonts w:ascii="Arial" w:cs="Times New Roman (标题 CS)" w:eastAsia="黑体" w:hAnsi="Arial"/>
      <w:color w:themeColor="accent1" w:themeShade="BF" w:val="0F4761"/>
      <w:sz w:val="26"/>
      <w:szCs w:val="28"/>
    </w:rPr>
  </w:style>
  <w:style w:styleId="aa" w:type="paragraph">
    <w:name w:val="Block Text"/>
    <w:basedOn w:val="a0"/>
    <w:next w:val="a0"/>
    <w:uiPriority w:val="9"/>
    <w:unhideWhenUsed/>
    <w:qFormat/>
    <w:pPr>
      <w:spacing w:after="100" w:before="100"/>
      <w:ind w:left="480" w:right="480"/>
    </w:pPr>
  </w:style>
  <w:style w:styleId="ab" w:type="paragraph">
    <w:name w:val="footnote text"/>
    <w:basedOn w:val="a"/>
    <w:uiPriority w:val="9"/>
    <w:unhideWhenUsed/>
    <w:qFormat/>
    <w:rsid w:val="00746C97"/>
    <w:rPr>
      <w:sz w:val="18"/>
    </w:rPr>
  </w:style>
  <w:style w:customStyle="1" w:styleId="FootnoteBlockText" w:type="paragraph">
    <w:name w:val="Footnote Block Text"/>
    <w:basedOn w:val="ab"/>
    <w:next w:val="ab"/>
    <w:uiPriority w:val="9"/>
    <w:unhideWhenUsed/>
    <w:qFormat/>
    <w:pPr>
      <w:spacing w:after="100" w:before="100"/>
      <w:ind w:left="480" w:right="480"/>
    </w:pPr>
  </w:style>
  <w:style w:customStyle="1" w:styleId="Table" w:type="table">
    <w:name w:val="Table"/>
    <w:semiHidden/>
    <w:unhideWhenUsed/>
    <w:qFormat/>
    <w:tblPr>
      <w:tblInd w:type="dxa" w:w="0"/>
      <w:tblCellMar>
        <w:top w:type="dxa" w:w="0"/>
        <w:left w:type="dxa" w:w="108"/>
        <w:bottom w:type="dxa" w:w="0"/>
        <w:right w:type="dxa" w:w="108"/>
      </w:tblCellMar>
    </w:tblPr>
    <w:tblStylePr w:type="firstRow">
      <w:tblPr>
        <w:jc w:val="left"/>
      </w:tblPr>
      <w:trPr>
        <w:jc w:val="left"/>
      </w:trPr>
      <w:tcPr>
        <w:tcBorders>
          <w:bottom w:color="auto" w:space="0" w:sz="0" w:val="single"/>
        </w:tcBorders>
        <w:vAlign w:val="bottom"/>
      </w:tcPr>
    </w:tblStylePr>
  </w:style>
  <w:style w:customStyle="1" w:styleId="DefinitionTerm" w:type="paragraph">
    <w:name w:val="Definition Term"/>
    <w:basedOn w:val="a"/>
    <w:next w:val="Definition"/>
    <w:pPr>
      <w:keepNext/>
      <w:keepLines/>
    </w:pPr>
    <w:rPr>
      <w:b/>
    </w:rPr>
  </w:style>
  <w:style w:customStyle="1" w:styleId="Definition" w:type="paragraph">
    <w:name w:val="Definition"/>
    <w:basedOn w:val="a"/>
  </w:style>
  <w:style w:styleId="ac" w:type="paragraph">
    <w:name w:val="caption"/>
    <w:basedOn w:val="a"/>
    <w:link w:val="ad"/>
    <w:pPr>
      <w:spacing w:after="120"/>
    </w:pPr>
    <w:rPr>
      <w:i/>
    </w:rPr>
  </w:style>
  <w:style w:customStyle="1" w:styleId="TableCaption" w:type="paragraph">
    <w:name w:val="Table Caption"/>
    <w:basedOn w:val="ac"/>
    <w:rsid w:val="00746C97"/>
    <w:pPr>
      <w:keepNext/>
      <w:spacing w:after="0"/>
      <w:jc w:val="center"/>
    </w:pPr>
    <w:rPr>
      <w:i w:val="0"/>
      <w:sz w:val="20"/>
    </w:rPr>
  </w:style>
  <w:style w:customStyle="1" w:styleId="ImageCaption" w:type="paragraph">
    <w:name w:val="Image Caption"/>
    <w:basedOn w:val="ac"/>
    <w:rsid w:val="00BF08D0"/>
    <w:pPr>
      <w:spacing w:after="0"/>
      <w:jc w:val="center"/>
    </w:pPr>
    <w:rPr>
      <w:i w:val="0"/>
      <w:sz w:val="20"/>
    </w:rPr>
  </w:style>
  <w:style w:customStyle="1" w:styleId="Figure" w:type="paragraph">
    <w:name w:val="Figure"/>
    <w:basedOn w:val="a"/>
  </w:style>
  <w:style w:customStyle="1" w:styleId="CaptionedFigure" w:type="paragraph">
    <w:name w:val="Captioned Figure"/>
    <w:basedOn w:val="Figure"/>
    <w:pPr>
      <w:keepNext/>
    </w:pPr>
  </w:style>
  <w:style w:customStyle="1" w:styleId="ad" w:type="character">
    <w:name w:val="题注 字符"/>
    <w:basedOn w:val="a1"/>
    <w:link w:val="ac"/>
  </w:style>
  <w:style w:customStyle="1" w:styleId="VerbatimChar" w:type="character">
    <w:name w:val="Verbatim Char"/>
    <w:basedOn w:val="ad"/>
    <w:rPr>
      <w:rFonts w:ascii="Consolas" w:hAnsi="Consolas"/>
      <w:sz w:val="22"/>
    </w:rPr>
  </w:style>
  <w:style w:customStyle="1" w:styleId="SectionNumber" w:type="character">
    <w:name w:val="Section Number"/>
    <w:basedOn w:val="ad"/>
  </w:style>
  <w:style w:styleId="ae" w:type="character">
    <w:name w:val="footnote reference"/>
    <w:basedOn w:val="ad"/>
    <w:rPr>
      <w:vertAlign w:val="superscript"/>
    </w:rPr>
  </w:style>
  <w:style w:styleId="af" w:type="character">
    <w:name w:val="Hyperlink"/>
    <w:basedOn w:val="ad"/>
    <w:rPr>
      <w:color w:themeColor="accent1" w:val="156082"/>
    </w:rPr>
  </w:style>
  <w:style w:styleId="TOC" w:type="paragraph">
    <w:name w:val="TOC Heading"/>
    <w:basedOn w:val="1"/>
    <w:next w:val="a0"/>
    <w:uiPriority w:val="39"/>
    <w:unhideWhenUsed/>
    <w:qFormat/>
    <w:pPr>
      <w:spacing w:before="240" w:line="259" w:lineRule="auto"/>
      <w:outlineLvl w:val="9"/>
    </w:pPr>
    <w:rPr>
      <w:rFonts w:asciiTheme="majorHAnsi" w:cstheme="majorBidi" w:eastAsiaTheme="majorEastAsia" w:hAnsiTheme="majorHAnsi"/>
    </w:rPr>
  </w:style>
  <w:style w:styleId="af0" w:type="table">
    <w:name w:val="Table Grid"/>
    <w:basedOn w:val="a2"/>
    <w:rsid w:val="00746C97"/>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af1" w:type="paragraph">
    <w:name w:val="List Paragraph"/>
    <w:basedOn w:val="a0"/>
    <w:rsid w:val="0051628A"/>
    <w:pPr>
      <w:ind w:firstLine="420" w:firstLineChars="200"/>
    </w:pPr>
  </w:style>
  <w:style w:styleId="af2" w:type="paragraph">
    <w:name w:val="header"/>
    <w:basedOn w:val="a"/>
    <w:link w:val="af3"/>
    <w:rsid w:val="005F6CBF"/>
    <w:pPr>
      <w:tabs>
        <w:tab w:pos="4153" w:val="center"/>
        <w:tab w:pos="8306" w:val="right"/>
      </w:tabs>
      <w:snapToGrid w:val="0"/>
      <w:spacing w:line="240" w:lineRule="auto"/>
      <w:jc w:val="center"/>
    </w:pPr>
    <w:rPr>
      <w:sz w:val="18"/>
      <w:szCs w:val="18"/>
    </w:rPr>
  </w:style>
  <w:style w:customStyle="1" w:styleId="af3" w:type="character">
    <w:name w:val="页眉 字符"/>
    <w:basedOn w:val="a1"/>
    <w:link w:val="af2"/>
    <w:rsid w:val="005F6CBF"/>
    <w:rPr>
      <w:rFonts w:ascii="Arial" w:cs="Times New Roman (正文 CS 字体)" w:eastAsia="宋体" w:hAnsi="Arial"/>
      <w:sz w:val="18"/>
      <w:szCs w:val="18"/>
    </w:rPr>
  </w:style>
  <w:style w:styleId="af4" w:type="paragraph">
    <w:name w:val="footer"/>
    <w:basedOn w:val="a"/>
    <w:link w:val="af5"/>
    <w:rsid w:val="005F6CBF"/>
    <w:pPr>
      <w:tabs>
        <w:tab w:pos="4153" w:val="center"/>
        <w:tab w:pos="8306" w:val="right"/>
      </w:tabs>
      <w:snapToGrid w:val="0"/>
      <w:spacing w:line="240" w:lineRule="auto"/>
    </w:pPr>
    <w:rPr>
      <w:sz w:val="18"/>
      <w:szCs w:val="18"/>
    </w:rPr>
  </w:style>
  <w:style w:customStyle="1" w:styleId="af5" w:type="character">
    <w:name w:val="页脚 字符"/>
    <w:basedOn w:val="a1"/>
    <w:link w:val="af4"/>
    <w:rsid w:val="005F6CBF"/>
    <w:rPr>
      <w:rFonts w:ascii="Arial" w:cs="Times New Roman (正文 CS 字体)" w:eastAsia="宋体" w:hAnsi="Arial"/>
      <w:sz w:val="18"/>
      <w:szCs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1.xml" Type="http://schemas.openxmlformats.org/officeDocument/2006/relationships/header" /><Relationship Id="rId10" Target="header3.xml" Type="http://schemas.openxmlformats.org/officeDocument/2006/relationships/header" /><Relationship Id="rId11" Target="header2.xml" Type="http://schemas.openxmlformats.org/officeDocument/2006/relationships/header" /><Relationship Id="rId12" Target="footer3.xml" Type="http://schemas.openxmlformats.org/officeDocument/2006/relationships/footer" /><Relationship Id="rId13" Target="footer2.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62</Words>
  <Characters>360</Characters>
  <Application>Microsoft Office Word</Application>
  <DocSecurity>0</DocSecurity>
  <Lines>3</Lines>
  <Paragraphs>1</Paragraphs>
  <ScaleCrop>false</ScaleCrop>
  <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2026-07-07T15:45:49Z</dcterms:created>
  <dcterms:modified xsi:type="dcterms:W3CDTF">2026-07-07T15:45:49Z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001191110108MACG2KBH8F10000","ProduceID":"d6c6uqhtoomdk5kgvteg-19f3c3db-c642-88bd-8000-09d9790612e1-20260707154549","ReservedCode1":"","ContentPropagator":"001191110108MACG2KBH8F20000","PropagateID":"d6c6uqhtoomdk5kgvteg-19f3c3db-c642-88bd-8000-09d9790612e1-20260707154549","ReservedCode2":""}</vt:lpwstr>
  </property>
</Properties>
</file>